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60" w:right="1580" w:hanging="3598"/>
        <w:spacing w:after="0" w:line="500"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360" w:right="1580" w:hanging="4298"/>
        <w:spacing w:after="0" w:line="500" w:lineRule="auto"/>
        <w:tabs>
          <w:tab w:leader="none" w:pos="5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SNAIL,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0" w:gutter="0" w:footer="0" w:header="0"/>
        </w:sectPr>
      </w:pPr>
    </w:p>
    <w:p>
      <w:pPr>
        <w:spacing w:after="0" w:line="200" w:lineRule="exact"/>
        <w:rPr>
          <w:sz w:val="24"/>
          <w:szCs w:val="24"/>
          <w:color w:val="auto"/>
        </w:rPr>
      </w:pPr>
    </w:p>
    <w:p>
      <w:pPr>
        <w:spacing w:after="0" w:line="248"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88-4146991</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6" w:right="3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12049 Jefferson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Culver City, CA 90230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 (zip code)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(310) 988-0643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SNAL</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1" w:lineRule="exact"/>
        <w:rPr>
          <w:sz w:val="24"/>
          <w:szCs w:val="24"/>
          <w:color w:val="auto"/>
        </w:rPr>
      </w:pPr>
    </w:p>
    <w:p>
      <w:pPr>
        <w:ind w:left="1840"/>
        <w:spacing w:after="0"/>
        <w:tabs>
          <w:tab w:leader="none" w:pos="6760" w:val="left"/>
        </w:tabs>
        <w:rPr>
          <w:sz w:val="20"/>
          <w:szCs w:val="20"/>
          <w:color w:val="auto"/>
        </w:rPr>
      </w:pPr>
      <w:r>
        <w:rPr>
          <w:rFonts w:ascii="Arial" w:cs="Arial" w:eastAsia="Arial" w:hAnsi="Arial"/>
          <w:sz w:val="18"/>
          <w:szCs w:val="18"/>
          <w:b w:val="1"/>
          <w:bCs w:val="1"/>
          <w:color w:val="auto"/>
        </w:rPr>
        <w:t>Class of Common Stock</w:t>
      </w:r>
      <w:r>
        <w:rPr>
          <w:sz w:val="20"/>
          <w:szCs w:val="20"/>
          <w:color w:val="auto"/>
        </w:rPr>
        <w:tab/>
      </w:r>
      <w:r>
        <w:rPr>
          <w:rFonts w:ascii="Arial" w:cs="Arial" w:eastAsia="Arial" w:hAnsi="Arial"/>
          <w:sz w:val="16"/>
          <w:szCs w:val="16"/>
          <w:b w:val="1"/>
          <w:bCs w:val="1"/>
          <w:color w:val="auto"/>
        </w:rPr>
        <w:t>Outstanding Shares as of November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440" w:type="dxa"/>
            <w:vAlign w:val="bottom"/>
          </w:tcPr>
          <w:p>
            <w:pPr>
              <w:ind w:left="740"/>
              <w:spacing w:after="0"/>
              <w:rPr>
                <w:sz w:val="20"/>
                <w:szCs w:val="20"/>
                <w:color w:val="auto"/>
              </w:rPr>
            </w:pPr>
            <w:r>
              <w:rPr>
                <w:rFonts w:ascii="Arial" w:cs="Arial" w:eastAsia="Arial" w:hAnsi="Arial"/>
                <w:sz w:val="18"/>
                <w:szCs w:val="18"/>
                <w:b w:val="1"/>
                <w:bCs w:val="1"/>
                <w:color w:val="auto"/>
              </w:rPr>
              <w:t>Class A Common Stock, par value $0.0001 per share</w:t>
            </w:r>
          </w:p>
        </w:tc>
        <w:tc>
          <w:tcPr>
            <w:tcW w:w="4800" w:type="dxa"/>
            <w:vAlign w:val="bottom"/>
          </w:tcPr>
          <w:p>
            <w:pPr>
              <w:jc w:val="right"/>
              <w:ind w:right="2290"/>
              <w:spacing w:after="0"/>
              <w:rPr>
                <w:sz w:val="20"/>
                <w:szCs w:val="20"/>
                <w:color w:val="auto"/>
              </w:rPr>
            </w:pPr>
            <w:r>
              <w:rPr>
                <w:rFonts w:ascii="Arial" w:cs="Arial" w:eastAsia="Arial" w:hAnsi="Arial"/>
                <w:sz w:val="18"/>
                <w:szCs w:val="18"/>
                <w:b w:val="1"/>
                <w:bCs w:val="1"/>
                <w:color w:val="auto"/>
              </w:rPr>
              <w:t>7,901,145</w:t>
            </w:r>
          </w:p>
        </w:tc>
      </w:tr>
      <w:tr>
        <w:trPr>
          <w:trHeight w:val="234"/>
        </w:trPr>
        <w:tc>
          <w:tcPr>
            <w:tcW w:w="6440" w:type="dxa"/>
            <w:vAlign w:val="bottom"/>
          </w:tcPr>
          <w:p>
            <w:pPr>
              <w:ind w:left="760"/>
              <w:spacing w:after="0"/>
              <w:rPr>
                <w:sz w:val="20"/>
                <w:szCs w:val="20"/>
                <w:color w:val="auto"/>
              </w:rPr>
            </w:pPr>
            <w:r>
              <w:rPr>
                <w:rFonts w:ascii="Arial" w:cs="Arial" w:eastAsia="Arial" w:hAnsi="Arial"/>
                <w:sz w:val="18"/>
                <w:szCs w:val="18"/>
                <w:b w:val="1"/>
                <w:bCs w:val="1"/>
                <w:color w:val="auto"/>
              </w:rPr>
              <w:t>Class B Common Stock, par value $0.0001 per share</w:t>
            </w:r>
          </w:p>
        </w:tc>
        <w:tc>
          <w:tcPr>
            <w:tcW w:w="4800" w:type="dxa"/>
            <w:vAlign w:val="bottom"/>
          </w:tcPr>
          <w:p>
            <w:pPr>
              <w:jc w:val="right"/>
              <w:ind w:right="2250"/>
              <w:spacing w:after="0"/>
              <w:rPr>
                <w:sz w:val="20"/>
                <w:szCs w:val="20"/>
                <w:color w:val="auto"/>
              </w:rPr>
            </w:pPr>
            <w:r>
              <w:rPr>
                <w:rFonts w:ascii="Arial" w:cs="Arial" w:eastAsia="Arial" w:hAnsi="Arial"/>
                <w:sz w:val="18"/>
                <w:szCs w:val="18"/>
                <w:b w:val="1"/>
                <w:bCs w:val="1"/>
                <w:color w:val="auto"/>
              </w:rPr>
              <w:t>28,748,580</w:t>
            </w:r>
          </w:p>
        </w:tc>
      </w:tr>
      <w:tr>
        <w:trPr>
          <w:trHeight w:val="223"/>
        </w:trPr>
        <w:tc>
          <w:tcPr>
            <w:tcW w:w="644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r>
      <w:tr>
        <w:trPr>
          <w:trHeight w:val="27"/>
        </w:trPr>
        <w:tc>
          <w:tcPr>
            <w:tcW w:w="644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68"/>
        </w:trPr>
        <w:tc>
          <w:tcPr>
            <w:tcW w:w="644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r>
      <w:tr>
        <w:trPr>
          <w:trHeight w:val="439"/>
        </w:trPr>
        <w:tc>
          <w:tcPr>
            <w:tcW w:w="6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6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CCEEFF"/>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Cautionary Statement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FINANCIAL INFORMATION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9"/>
              </w:rPr>
              <w:t>Snail, Inc. and Subsidiaries Condensed Consolidated Balance Sheets as of September 30, 2023 and December 31, 2022</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0"/>
              </w:rPr>
              <w:t>Snail, Inc. and Subsidiaries Condensed Consolidated Statements of Operations and Comprehensive Income (Loss) for the three and</w:t>
            </w:r>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2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nine months ended September 30, 2023 and 2022</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0"/>
              </w:rPr>
              <w:t>Snail, Inc. and Subsidiaries Condensed Consolidated Statements of Equity for the three and nine months ended September 30, 2023</w:t>
            </w: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rPr>
              <w:t>and 2022</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0"/>
              </w:rPr>
              <w:t>Snail, Inc. and Subsidiaries Condensed Consolidated Statements of Cash Flows for the nine months ended September 30, 2023 and</w:t>
            </w: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4"/>
              </w:rPr>
              <w:t>2022</w:t>
            </w: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CCEEFF"/>
            </w:tcBorders>
            <w:shd w:val="clear" w:color="auto" w:fill="CCEEFF"/>
          </w:tcPr>
          <w:p>
            <w:pPr>
              <w:spacing w:after="0"/>
              <w:rPr>
                <w:sz w:val="18"/>
                <w:szCs w:val="18"/>
                <w:color w:val="auto"/>
              </w:rPr>
            </w:pPr>
          </w:p>
        </w:tc>
        <w:tc>
          <w:tcPr>
            <w:tcW w:w="7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1060" w:type="dxa"/>
            <w:vAlign w:val="bottom"/>
            <w:tcBorders>
              <w:top w:val="single" w:sz="8" w:color="0000EE"/>
              <w:bottom w:val="single" w:sz="8" w:color="CCEEFF"/>
            </w:tcBorders>
            <w:shd w:val="clear" w:color="auto" w:fill="CCEEFF"/>
          </w:tcPr>
          <w:p>
            <w:pPr>
              <w:spacing w:after="0"/>
              <w:rPr>
                <w:sz w:val="18"/>
                <w:szCs w:val="18"/>
                <w:color w:val="auto"/>
              </w:rPr>
            </w:pPr>
          </w:p>
        </w:tc>
        <w:tc>
          <w:tcPr>
            <w:tcW w:w="2580" w:type="dxa"/>
            <w:vAlign w:val="bottom"/>
            <w:tcBorders>
              <w:top w:val="single" w:sz="8" w:color="0000EE"/>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Snail, Inc. and Subsidiaries Notes to Condensed Consolidated Financial Statements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the Results of Operations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80" w:type="dxa"/>
            <w:vAlign w:val="bottom"/>
            <w:tcBorders>
              <w:top w:val="single" w:sz="8" w:color="CCEEFF"/>
              <w:bottom w:val="single" w:sz="8" w:color="auto"/>
            </w:tcBorders>
            <w:gridSpan w:val="5"/>
          </w:tcPr>
          <w:p>
            <w:pPr>
              <w:jc w:val="center"/>
              <w:ind w:right="4680"/>
              <w:spacing w:after="0"/>
              <w:rPr>
                <w:sz w:val="20"/>
                <w:szCs w:val="20"/>
                <w:color w:val="auto"/>
              </w:rPr>
            </w:pPr>
            <w:r>
              <w:rPr>
                <w:rFonts w:ascii="Arial" w:cs="Arial" w:eastAsia="Arial" w:hAnsi="Arial"/>
                <w:sz w:val="18"/>
                <w:szCs w:val="18"/>
                <w:color w:val="auto"/>
                <w:w w:val="98"/>
              </w:rPr>
              <w:t>i</w:t>
            </w: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spacing w:after="0" w:line="1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re-establish profitable operations, raise additional capital or renegotiate our debt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prospects and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new games and additional functionality to games that are commercially successful;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significant drivers of our future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increase our player base and develop new video games and enhance our existing games;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companies in a number of industries, including other casual game developers and publishers and both large and small, public and private multimedia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a qualified management team and other team members while controlling our labor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third-party platforms such as Xbox Live and Game Pass, PlayStation Network, Steam, Epic Games Store, the Apple App Store, the Google Play Store, My Nintendo Store and the Amazon Appstore;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manage our international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and developing our brand and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rulings by courts or other governmental authorities;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Share Repurchase Program (as defined below), including expectations regarding the timing and manner of repurchases made under the Share Repurchase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and successfully integrate strategic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this Quarterly Report, including those described in Item 1A of Part II, “Risk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60" w:type="dxa"/>
            <w:vAlign w:val="bottom"/>
          </w:tcPr>
          <w:p>
            <w:pPr>
              <w:ind w:left="4580"/>
              <w:spacing w:after="0"/>
              <w:rPr>
                <w:sz w:val="20"/>
                <w:szCs w:val="20"/>
                <w:color w:val="auto"/>
              </w:rPr>
            </w:pPr>
            <w:r>
              <w:rPr>
                <w:rFonts w:ascii="Arial" w:cs="Arial" w:eastAsia="Arial" w:hAnsi="Arial"/>
                <w:sz w:val="18"/>
                <w:szCs w:val="18"/>
                <w:b w:val="1"/>
                <w:bCs w:val="1"/>
                <w:color w:val="auto"/>
                <w:w w:val="96"/>
              </w:rPr>
              <w:t>Snail, Inc. and Subsidiaries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200" w:type="dxa"/>
            <w:vAlign w:val="bottom"/>
            <w:gridSpan w:val="3"/>
          </w:tcPr>
          <w:p>
            <w:pPr>
              <w:ind w:left="408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8"/>
                <w:szCs w:val="18"/>
                <w:b w:val="1"/>
                <w:bCs w:val="1"/>
                <w:i w:val="1"/>
                <w:iCs w:val="1"/>
                <w:color w:val="auto"/>
                <w:w w:val="86"/>
              </w:rPr>
              <w:t>September 30, 2023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b w:val="1"/>
                <w:bCs w:val="1"/>
                <w:i w:val="1"/>
                <w:iCs w:val="1"/>
                <w:color w:val="auto"/>
                <w:w w:val="91"/>
              </w:rPr>
              <w:t>December 31, 2022</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4,948,832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12,863,817</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escrow deposit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1,037,739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1,003,804</w:t>
            </w: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rPr>
              <w:t>Accounts receivable, net of allowances for credit losses of $19,929 and $31,525,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4,083,369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6,758,024</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 related party,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11,599,229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11,344,184</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Loan and interest receivable - related party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103,249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101,753</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 related party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11,482,303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10,565,141</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35,754,721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42,636,723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1,115,084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6,374,368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Prepaid expenses - related party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5,582,500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5,582,500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4,768,715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5,114,799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 net - license - related parties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130,435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1,384,058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271,918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272,521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10,902,503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7,602,536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198,668</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2,738,554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3,606,398</w:t>
            </w:r>
          </w:p>
        </w:tc>
      </w:tr>
      <w:tr>
        <w:trPr>
          <w:trHeight w:val="23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61,435,942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72,772,571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NONCONTROLLING INTERESTS AND STOCKHOLDERS’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9,956,626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9,452,391</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19,669,868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19,918,259</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2,305,132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1,474,088</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payable - related parties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527,770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527,770</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Revolving loan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4,358,333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5,416,666</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Convertible notes, net of discount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515,217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promissory note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2,832,231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86,524</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5,848,320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4,335,404</w:t>
            </w:r>
          </w:p>
        </w:tc>
      </w:tr>
      <w:tr>
        <w:trPr>
          <w:trHeight w:val="25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1,470,718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1,371,227</w:t>
            </w: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53,484,215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51,582,329</w:t>
            </w:r>
          </w:p>
        </w:tc>
        <w:tc>
          <w:tcPr>
            <w:tcW w:w="100" w:type="dxa"/>
            <w:vAlign w:val="bottom"/>
            <w:tcBorders>
              <w:top w:val="single" w:sz="8" w:color="CCEEFF"/>
            </w:tcBorders>
          </w:tcPr>
          <w:p>
            <w:pPr>
              <w:spacing w:after="0"/>
              <w:rPr>
                <w:sz w:val="17"/>
                <w:szCs w:val="17"/>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311,276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457,024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net of current portion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3,221,963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5,680,439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5,216,042</w:t>
            </w:r>
          </w:p>
        </w:tc>
      </w:tr>
      <w:tr>
        <w:trPr>
          <w:trHeight w:val="24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1,814,962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2,930,529</w:t>
            </w: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61,290,892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63,407,887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$0.0001 par value, 500,000,000 shares authorized; 9,251,420 shares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0"/>
              </w:rPr>
              <w:t>issued, 7,901,145 and 8,053,771 shares outstanding as of September 30, 2023 and December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31, 2022, respectively</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0"/>
              </w:rPr>
              <w:t>Class B common stock, $0.0001 par value, 100,000,000 shares authorized; 28,748,580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w w:val="97"/>
              </w:rPr>
              <w:t>issued and outstanding as of September 30, 2023 and December 31, 2022,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25,945,549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23,436,942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(307,200)</w:t>
            </w:r>
          </w:p>
        </w:tc>
      </w:tr>
      <w:tr>
        <w:trPr>
          <w:trHeight w:val="236"/>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(16,346,691)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(4,863,250)</w:t>
            </w:r>
          </w:p>
        </w:tc>
      </w:tr>
      <w:tr>
        <w:trPr>
          <w:trHeight w:val="216"/>
        </w:trPr>
        <w:tc>
          <w:tcPr>
            <w:tcW w:w="6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9,314,973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18,270,292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8"/>
              </w:rPr>
              <w:t>Treasury stock at cost (1,350,275 and 1,197,649 shares as of September 30, 2023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6860" w:type="dxa"/>
            <w:vAlign w:val="bottom"/>
          </w:tcPr>
          <w:p>
            <w:pPr>
              <w:spacing w:after="0"/>
              <w:rPr>
                <w:sz w:val="20"/>
                <w:szCs w:val="20"/>
                <w:color w:val="auto"/>
              </w:rPr>
            </w:pPr>
            <w:r>
              <w:rPr>
                <w:rFonts w:ascii="Arial" w:cs="Arial" w:eastAsia="Arial" w:hAnsi="Arial"/>
                <w:sz w:val="18"/>
                <w:szCs w:val="18"/>
                <w:color w:val="auto"/>
              </w:rPr>
              <w:t>December 31, 2022, respectively)</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(3,671,806)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(3,414,713)</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Snail, Inc. equity</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5,643,167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14,855,579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8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(5,498,117)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(5,490,895)</w:t>
            </w: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ectPr>
          <w:pgSz w:w="11900" w:h="16891" w:orient="portrait"/>
          <w:cols w:equalWidth="0" w:num="1">
            <w:col w:w="11240"/>
          </w:cols>
          <w:pgMar w:left="320" w:top="688" w:right="339" w:bottom="0" w:gutter="0" w:footer="0" w:header="0"/>
        </w:sectPr>
      </w:pPr>
    </w:p>
    <w:bookmarkStart w:id="5" w:name="page6"/>
    <w:bookmarkEnd w:id="5"/>
    <w:p>
      <w:pPr>
        <w:spacing w:after="0"/>
        <w:tabs>
          <w:tab w:leader="none" w:pos="6960" w:val="left"/>
          <w:tab w:leader="none" w:pos="8080" w:val="left"/>
          <w:tab w:leader="none" w:pos="9200" w:val="left"/>
          <w:tab w:leader="none" w:pos="10300" w:val="left"/>
        </w:tabs>
        <w:rPr>
          <w:sz w:val="20"/>
          <w:szCs w:val="20"/>
          <w:color w:val="auto"/>
        </w:rPr>
      </w:pPr>
      <w:r>
        <w:rPr>
          <w:rFonts w:ascii="Arial" w:cs="Arial" w:eastAsia="Arial" w:hAnsi="Arial"/>
          <w:sz w:val="18"/>
          <w:szCs w:val="18"/>
          <w:color w:val="auto"/>
        </w:rPr>
        <w:t>Total liabilities, noncontrolling interests and stockholders’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61,435,942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72,772,571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63144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2603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1"/>
              </w:rPr>
              <w:t>Three months ended September 30,</w:t>
            </w:r>
          </w:p>
        </w:tc>
        <w:tc>
          <w:tcPr>
            <w:tcW w:w="200" w:type="dxa"/>
            <w:vAlign w:val="bottom"/>
          </w:tcPr>
          <w:p>
            <w:pPr>
              <w:spacing w:after="0"/>
              <w:rPr>
                <w:sz w:val="20"/>
                <w:szCs w:val="20"/>
                <w:color w:val="auto"/>
              </w:rPr>
            </w:pPr>
          </w:p>
        </w:tc>
        <w:tc>
          <w:tcPr>
            <w:tcW w:w="31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2022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2023</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8,981,135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15,614,171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32,331,876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59,132,284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9,463,086</w:t>
            </w: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12,424,067</w:t>
            </w:r>
          </w:p>
        </w:tc>
        <w:tc>
          <w:tcPr>
            <w:tcW w:w="20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29,659,788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40,397,396</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Gross profit, (loss)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(481,951)</w:t>
            </w: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3,190,104</w:t>
            </w:r>
          </w:p>
        </w:tc>
        <w:tc>
          <w:tcPr>
            <w:tcW w:w="20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2,672,088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18,734,888</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3,452,141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4,478,907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11,915,126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13,525,001</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1,317,400</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116,624</w:t>
            </w:r>
          </w:p>
        </w:tc>
        <w:tc>
          <w:tcPr>
            <w:tcW w:w="20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3,892,039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479,630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215,477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198,417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488,318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569,127</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112,914</w:t>
            </w: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128,536</w:t>
            </w:r>
          </w:p>
        </w:tc>
        <w:tc>
          <w:tcPr>
            <w:tcW w:w="20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346,084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435,644</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5,097,932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4,922,484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16,641,567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(5,579,883)</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(1,732,380)</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(13,969,479)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3,725,486</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47,147</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12,712</w:t>
            </w:r>
          </w:p>
        </w:tc>
        <w:tc>
          <w:tcPr>
            <w:tcW w:w="20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98,411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45,789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 related parties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582,128</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(370,376)</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(261,070)</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(961,196)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(613,338)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related parties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61"/>
              <w:spacing w:after="0"/>
              <w:rPr>
                <w:sz w:val="20"/>
                <w:szCs w:val="20"/>
                <w:color w:val="auto"/>
              </w:rPr>
            </w:pPr>
            <w:r>
              <w:rPr>
                <w:rFonts w:ascii="Arial" w:cs="Arial" w:eastAsia="Arial" w:hAnsi="Arial"/>
                <w:sz w:val="18"/>
                <w:szCs w:val="18"/>
                <w:color w:val="auto"/>
              </w:rPr>
              <w:t>313,156</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19,500</w:t>
            </w:r>
          </w:p>
        </w:tc>
        <w:tc>
          <w:tcPr>
            <w:tcW w:w="20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321,331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319,153</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transaction (loss) gain</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(1,394)</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16,169</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(25,606)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21,679</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(10,963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(212,184</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(565,564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352,189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(Loss) income before (benefit from) provision for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(5,590,846)</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(1,944,564)</w:t>
            </w:r>
          </w:p>
        </w:tc>
        <w:tc>
          <w:tcPr>
            <w:tcW w:w="200" w:type="dxa"/>
            <w:vAlign w:val="bottom"/>
          </w:tcPr>
          <w:p>
            <w:pPr>
              <w:spacing w:after="0"/>
              <w:rPr>
                <w:sz w:val="20"/>
                <w:szCs w:val="20"/>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(14,535,043)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4,077,675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(1,156,675)</w:t>
            </w:r>
          </w:p>
        </w:tc>
        <w:tc>
          <w:tcPr>
            <w:tcW w:w="340" w:type="dxa"/>
            <w:vAlign w:val="bottom"/>
          </w:tcPr>
          <w:p>
            <w:pPr>
              <w:spacing w:after="0"/>
              <w:rPr>
                <w:sz w:val="19"/>
                <w:szCs w:val="19"/>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(398,998)</w:t>
            </w:r>
          </w:p>
        </w:tc>
        <w:tc>
          <w:tcPr>
            <w:tcW w:w="20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(3,044,380)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803,305</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color w:val="auto"/>
              </w:rPr>
              <w:t>(4,434,171)</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(1,545,566)</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(11,490,663)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3,274,370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(1,539)</w:t>
            </w:r>
          </w:p>
        </w:tc>
        <w:tc>
          <w:tcPr>
            <w:tcW w:w="340" w:type="dxa"/>
            <w:vAlign w:val="bottom"/>
          </w:tcPr>
          <w:p>
            <w:pPr>
              <w:spacing w:after="0"/>
              <w:rPr>
                <w:sz w:val="17"/>
                <w:szCs w:val="17"/>
                <w:color w:val="auto"/>
              </w:rPr>
            </w:pPr>
          </w:p>
        </w:tc>
        <w:tc>
          <w:tcPr>
            <w:tcW w:w="148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(6,828)</w:t>
            </w:r>
          </w:p>
        </w:tc>
        <w:tc>
          <w:tcPr>
            <w:tcW w:w="200" w:type="dxa"/>
            <w:vAlign w:val="bottom"/>
          </w:tcPr>
          <w:p>
            <w:pPr>
              <w:spacing w:after="0"/>
              <w:rPr>
                <w:sz w:val="17"/>
                <w:szCs w:val="17"/>
                <w:color w:val="auto"/>
              </w:rPr>
            </w:pPr>
          </w:p>
        </w:tc>
        <w:tc>
          <w:tcPr>
            <w:tcW w:w="144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56,348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rPr>
              <w:t>Net (loss) income attributable to Snail, Inc.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Snail Games USA Inc.</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(4,432,632)</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(1,538,738)</w:t>
            </w:r>
          </w:p>
        </w:tc>
        <w:tc>
          <w:tcPr>
            <w:tcW w:w="200" w:type="dxa"/>
            <w:vAlign w:val="bottom"/>
          </w:tcPr>
          <w:p>
            <w:pPr>
              <w:spacing w:after="0"/>
              <w:rPr>
                <w:sz w:val="20"/>
                <w:szCs w:val="20"/>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(11,483,441)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3,218,022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Comprehensive income statement: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 (loss) related to foreign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(1,512)</w:t>
            </w:r>
          </w:p>
        </w:tc>
        <w:tc>
          <w:tcPr>
            <w:tcW w:w="340" w:type="dxa"/>
            <w:vAlign w:val="bottom"/>
          </w:tcPr>
          <w:p>
            <w:pPr>
              <w:spacing w:after="0"/>
              <w:rPr>
                <w:sz w:val="17"/>
                <w:szCs w:val="17"/>
                <w:color w:val="auto"/>
              </w:rPr>
            </w:pPr>
          </w:p>
        </w:tc>
        <w:tc>
          <w:tcPr>
            <w:tcW w:w="1480" w:type="dxa"/>
            <w:vAlign w:val="bottom"/>
            <w:gridSpan w:val="2"/>
            <w:vMerge w:val="restart"/>
          </w:tcPr>
          <w:p>
            <w:pPr>
              <w:jc w:val="right"/>
              <w:ind w:right="261"/>
              <w:spacing w:after="0"/>
              <w:rPr>
                <w:sz w:val="20"/>
                <w:szCs w:val="20"/>
                <w:color w:val="auto"/>
              </w:rPr>
            </w:pPr>
            <w:r>
              <w:rPr>
                <w:rFonts w:ascii="Arial" w:cs="Arial" w:eastAsia="Arial" w:hAnsi="Arial"/>
                <w:sz w:val="18"/>
                <w:szCs w:val="18"/>
                <w:color w:val="auto"/>
              </w:rPr>
              <w:t>5,682</w:t>
            </w:r>
          </w:p>
        </w:tc>
        <w:tc>
          <w:tcPr>
            <w:tcW w:w="200" w:type="dxa"/>
            <w:vAlign w:val="bottom"/>
          </w:tcPr>
          <w:p>
            <w:pPr>
              <w:spacing w:after="0"/>
              <w:rPr>
                <w:sz w:val="17"/>
                <w:szCs w:val="17"/>
                <w:color w:val="auto"/>
              </w:rPr>
            </w:pPr>
          </w:p>
        </w:tc>
        <w:tc>
          <w:tcPr>
            <w:tcW w:w="144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19,515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(76,720)</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currency translation adjustments, net of tax</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comprehensive (loss) income</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(4,434,144)</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(1,533,056)</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(11,463,926)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3,141,302</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Net (loss) income attributable to Class A common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(955,763)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(1,538,738)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(2,477,768)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3,218,022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(955,763</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(1,538,738</w:t>
            </w: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(2,477,768</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3,218,022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rPr>
              <w:t>Net loss attributable to Class B common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(3,476,869)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(9,005,673)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(3,476,869</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(9,005,673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(Loss) income per share attributable to Class A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B common stockholders: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(0.12)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(0.04)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(0.31)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(0.12</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Weighted-average shares used to compute income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per share attributable to Class A common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120" w:type="dxa"/>
            <w:vAlign w:val="bottom"/>
          </w:tcPr>
          <w:p>
            <w:pPr>
              <w:spacing w:after="0" w:line="271" w:lineRule="exact"/>
              <w:rPr>
                <w:sz w:val="20"/>
                <w:szCs w:val="20"/>
                <w:color w:val="auto"/>
              </w:rPr>
            </w:pPr>
            <w:r>
              <w:rPr>
                <w:rFonts w:ascii="Arial" w:cs="Arial" w:eastAsia="Arial" w:hAnsi="Arial"/>
                <w:sz w:val="18"/>
                <w:szCs w:val="18"/>
                <w:b w:val="1"/>
                <w:bCs w:val="1"/>
                <w:color w:val="auto"/>
              </w:rPr>
              <w:t>stockholders</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rPr>
              <w:t>7,901,145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rPr>
              <w:t>35,000,000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7,909,715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35,000,000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7,901,145</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35,000,000</w:t>
            </w: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7,909,715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35,000,000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Weighted-average shares used to compute income</w:t>
            </w:r>
          </w:p>
        </w:tc>
        <w:tc>
          <w:tcPr>
            <w:tcW w:w="2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per share attributable to Class B common</w:t>
            </w:r>
          </w:p>
        </w:tc>
        <w:tc>
          <w:tcPr>
            <w:tcW w:w="2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8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226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28,748,580</w:t>
            </w:r>
          </w:p>
        </w:tc>
        <w:tc>
          <w:tcPr>
            <w:tcW w:w="14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216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28,748,580</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226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Diluted</w:t>
            </w:r>
          </w:p>
        </w:tc>
        <w:tc>
          <w:tcPr>
            <w:tcW w:w="2260" w:type="dxa"/>
            <w:vAlign w:val="bottom"/>
          </w:tcPr>
          <w:p>
            <w:pPr>
              <w:jc w:val="right"/>
              <w:ind w:right="790"/>
              <w:spacing w:after="0"/>
              <w:rPr>
                <w:sz w:val="20"/>
                <w:szCs w:val="20"/>
                <w:color w:val="auto"/>
              </w:rPr>
            </w:pPr>
            <w:r>
              <w:rPr>
                <w:rFonts w:ascii="Arial" w:cs="Arial" w:eastAsia="Arial" w:hAnsi="Arial"/>
                <w:sz w:val="18"/>
                <w:szCs w:val="18"/>
                <w:b w:val="1"/>
                <w:bCs w:val="1"/>
                <w:color w:val="auto"/>
              </w:rPr>
              <w:t>28,748,580</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160" w:type="dxa"/>
            <w:vAlign w:val="bottom"/>
          </w:tcPr>
          <w:p>
            <w:pPr>
              <w:jc w:val="right"/>
              <w:ind w:right="770"/>
              <w:spacing w:after="0"/>
              <w:rPr>
                <w:sz w:val="20"/>
                <w:szCs w:val="20"/>
                <w:color w:val="auto"/>
              </w:rPr>
            </w:pPr>
            <w:r>
              <w:rPr>
                <w:rFonts w:ascii="Arial" w:cs="Arial" w:eastAsia="Arial" w:hAnsi="Arial"/>
                <w:sz w:val="18"/>
                <w:szCs w:val="18"/>
                <w:b w:val="1"/>
                <w:bCs w:val="1"/>
                <w:color w:val="auto"/>
              </w:rPr>
              <w:t>28,748,580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-7620</wp:posOffset>
            </wp:positionV>
            <wp:extent cx="434594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4594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shares used for the denominator in the calculation of EPS are the number of shares transferred in the reorganization transaction for comparative purposes. Snail Games USA Inc. did not have Class A common stock as of September 30,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for the Three and Nine Months Ended September 30, 2023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180" w:type="dxa"/>
            <w:vAlign w:val="bottom"/>
            <w:gridSpan w:val="10"/>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 -</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Due from</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Snail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1180" w:type="dxa"/>
            <w:vAlign w:val="bottom"/>
            <w:gridSpan w:val="10"/>
            <w:vMerge w:val="continue"/>
          </w:tcPr>
          <w:p>
            <w:pPr>
              <w:spacing w:after="0"/>
              <w:rPr>
                <w:sz w:val="12"/>
                <w:szCs w:val="12"/>
                <w:color w:val="auto"/>
              </w:rPr>
            </w:pPr>
          </w:p>
        </w:tc>
        <w:tc>
          <w:tcPr>
            <w:tcW w:w="1280" w:type="dxa"/>
            <w:vAlign w:val="bottom"/>
            <w:gridSpan w:val="9"/>
            <w:vMerge w:val="restart"/>
          </w:tcPr>
          <w:p>
            <w:pPr>
              <w:jc w:val="right"/>
              <w:ind w:right="560"/>
              <w:spacing w:after="0"/>
              <w:rPr>
                <w:sz w:val="20"/>
                <w:szCs w:val="20"/>
                <w:color w:val="auto"/>
              </w:rPr>
            </w:pPr>
            <w:r>
              <w:rPr>
                <w:rFonts w:ascii="Arial" w:cs="Arial" w:eastAsia="Arial" w:hAnsi="Arial"/>
                <w:sz w:val="14"/>
                <w:szCs w:val="14"/>
                <w:b w:val="1"/>
                <w:bCs w:val="1"/>
                <w:color w:val="auto"/>
              </w:rPr>
              <w:t>Class A</w:t>
            </w:r>
          </w:p>
        </w:tc>
        <w:tc>
          <w:tcPr>
            <w:tcW w:w="82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12"/>
                <w:szCs w:val="12"/>
                <w:color w:val="auto"/>
              </w:rPr>
            </w:pP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8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Shareholder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00" w:type="dxa"/>
            <w:vAlign w:val="bottom"/>
            <w:gridSpan w:val="7"/>
          </w:tcPr>
          <w:p>
            <w:pPr>
              <w:jc w:val="center"/>
              <w:ind w:left="26"/>
              <w:spacing w:after="0" w:line="149" w:lineRule="exact"/>
              <w:rPr>
                <w:sz w:val="20"/>
                <w:szCs w:val="20"/>
                <w:color w:val="auto"/>
              </w:rPr>
            </w:pPr>
            <w:r>
              <w:rPr>
                <w:rFonts w:ascii="Arial" w:cs="Arial" w:eastAsia="Arial" w:hAnsi="Arial"/>
                <w:sz w:val="14"/>
                <w:szCs w:val="14"/>
                <w:b w:val="1"/>
                <w:bCs w:val="1"/>
                <w:color w:val="auto"/>
                <w:w w:val="92"/>
              </w:rPr>
              <w:t>Snail Games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9"/>
            <w:vMerge w:val="continue"/>
          </w:tcPr>
          <w:p>
            <w:pPr>
              <w:spacing w:after="0"/>
              <w:rPr>
                <w:sz w:val="12"/>
                <w:szCs w:val="12"/>
                <w:color w:val="auto"/>
              </w:rPr>
            </w:pPr>
          </w:p>
        </w:tc>
        <w:tc>
          <w:tcPr>
            <w:tcW w:w="8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Loan and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5"/>
            <w:vMerge w:val="restart"/>
          </w:tcPr>
          <w:p>
            <w:pPr>
              <w:jc w:val="right"/>
              <w:ind w:right="148"/>
              <w:spacing w:after="0"/>
              <w:rPr>
                <w:sz w:val="20"/>
                <w:szCs w:val="20"/>
                <w:color w:val="auto"/>
              </w:rPr>
            </w:pPr>
            <w:r>
              <w:rPr>
                <w:rFonts w:ascii="Arial" w:cs="Arial" w:eastAsia="Arial" w:hAnsi="Arial"/>
                <w:sz w:val="14"/>
                <w:szCs w:val="14"/>
                <w:b w:val="1"/>
                <w:bCs w:val="1"/>
                <w:color w:val="auto"/>
                <w:w w:val="98"/>
              </w:rPr>
              <w:t>Retained</w:t>
            </w:r>
          </w:p>
        </w:tc>
        <w:tc>
          <w:tcPr>
            <w:tcW w:w="1040" w:type="dxa"/>
            <w:vAlign w:val="bottom"/>
            <w:gridSpan w:val="8"/>
            <w:vMerge w:val="restart"/>
          </w:tcPr>
          <w:p>
            <w:pPr>
              <w:jc w:val="right"/>
              <w:ind w:right="28"/>
              <w:spacing w:after="0"/>
              <w:rPr>
                <w:sz w:val="20"/>
                <w:szCs w:val="20"/>
                <w:color w:val="auto"/>
              </w:rPr>
            </w:pPr>
            <w:r>
              <w:rPr>
                <w:rFonts w:ascii="Arial" w:cs="Arial" w:eastAsia="Arial" w:hAnsi="Arial"/>
                <w:sz w:val="14"/>
                <w:szCs w:val="14"/>
                <w:b w:val="1"/>
                <w:bCs w:val="1"/>
                <w:color w:val="auto"/>
                <w:w w:val="90"/>
              </w:rPr>
              <w:t>Treasury Stock</w:t>
            </w:r>
          </w:p>
        </w:tc>
        <w:tc>
          <w:tcPr>
            <w:tcW w:w="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Games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000" w:type="dxa"/>
            <w:vAlign w:val="bottom"/>
            <w:gridSpan w:val="7"/>
          </w:tcPr>
          <w:p>
            <w:pPr>
              <w:jc w:val="center"/>
              <w:ind w:left="46"/>
              <w:spacing w:after="0"/>
              <w:rPr>
                <w:sz w:val="20"/>
                <w:szCs w:val="20"/>
                <w:color w:val="auto"/>
              </w:rPr>
            </w:pPr>
            <w:r>
              <w:rPr>
                <w:rFonts w:ascii="Arial" w:cs="Arial" w:eastAsia="Arial" w:hAnsi="Arial"/>
                <w:sz w:val="14"/>
                <w:szCs w:val="14"/>
                <w:b w:val="1"/>
                <w:bCs w:val="1"/>
                <w:color w:val="auto"/>
                <w:w w:val="97"/>
              </w:rPr>
              <w:t>USA Inc.</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17"/>
          </w:tcPr>
          <w:p>
            <w:pPr>
              <w:jc w:val="right"/>
              <w:ind w:right="60"/>
              <w:spacing w:after="0"/>
              <w:rPr>
                <w:sz w:val="20"/>
                <w:szCs w:val="20"/>
                <w:color w:val="auto"/>
              </w:rPr>
            </w:pPr>
            <w:r>
              <w:rPr>
                <w:rFonts w:ascii="Arial" w:cs="Arial" w:eastAsia="Arial" w:hAnsi="Arial"/>
                <w:sz w:val="14"/>
                <w:szCs w:val="14"/>
                <w:b w:val="1"/>
                <w:bCs w:val="1"/>
                <w:color w:val="auto"/>
                <w:w w:val="94"/>
              </w:rPr>
              <w:t>Common Stock  Common Stock</w:t>
            </w:r>
          </w:p>
        </w:tc>
        <w:tc>
          <w:tcPr>
            <w:tcW w:w="4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4"/>
                <w:szCs w:val="14"/>
                <w:color w:val="auto"/>
              </w:rPr>
            </w:pPr>
          </w:p>
        </w:tc>
        <w:tc>
          <w:tcPr>
            <w:tcW w:w="1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10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USA Inc.</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560" w:type="dxa"/>
            <w:vAlign w:val="bottom"/>
            <w:tcBorders>
              <w:top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6"/>
          </w:tcPr>
          <w:p>
            <w:pPr>
              <w:ind w:left="40"/>
              <w:spacing w:after="0" w:line="149"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980" w:type="dxa"/>
            <w:vAlign w:val="bottom"/>
            <w:tcBorders>
              <w:top w:val="single" w:sz="8" w:color="auto"/>
            </w:tcBorders>
            <w:gridSpan w:val="6"/>
          </w:tcPr>
          <w:p>
            <w:pPr>
              <w:jc w:val="right"/>
              <w:spacing w:after="0" w:line="149" w:lineRule="exact"/>
              <w:rPr>
                <w:sz w:val="20"/>
                <w:szCs w:val="20"/>
                <w:color w:val="auto"/>
              </w:rPr>
            </w:pPr>
            <w:r>
              <w:rPr>
                <w:rFonts w:ascii="Arial" w:cs="Arial" w:eastAsia="Arial" w:hAnsi="Arial"/>
                <w:sz w:val="14"/>
                <w:szCs w:val="14"/>
                <w:b w:val="1"/>
                <w:bCs w:val="1"/>
                <w:color w:val="auto"/>
                <w:w w:val="92"/>
              </w:rPr>
              <w:t>Shares Amount</w:t>
            </w:r>
          </w:p>
        </w:tc>
        <w:tc>
          <w:tcPr>
            <w:tcW w:w="80" w:type="dxa"/>
            <w:vAlign w:val="bottom"/>
          </w:tcPr>
          <w:p>
            <w:pPr>
              <w:spacing w:after="0"/>
              <w:rPr>
                <w:sz w:val="13"/>
                <w:szCs w:val="13"/>
                <w:color w:val="auto"/>
              </w:rPr>
            </w:pPr>
          </w:p>
        </w:tc>
        <w:tc>
          <w:tcPr>
            <w:tcW w:w="980" w:type="dxa"/>
            <w:vAlign w:val="bottom"/>
            <w:tcBorders>
              <w:top w:val="single" w:sz="8" w:color="auto"/>
            </w:tcBorders>
            <w:gridSpan w:val="9"/>
          </w:tcPr>
          <w:p>
            <w:pPr>
              <w:jc w:val="right"/>
              <w:spacing w:after="0" w:line="149" w:lineRule="exact"/>
              <w:rPr>
                <w:sz w:val="20"/>
                <w:szCs w:val="20"/>
                <w:color w:val="auto"/>
              </w:rPr>
            </w:pPr>
            <w:r>
              <w:rPr>
                <w:rFonts w:ascii="Arial" w:cs="Arial" w:eastAsia="Arial" w:hAnsi="Arial"/>
                <w:sz w:val="14"/>
                <w:szCs w:val="14"/>
                <w:b w:val="1"/>
                <w:bCs w:val="1"/>
                <w:color w:val="auto"/>
                <w:w w:val="92"/>
              </w:rPr>
              <w:t>Shares 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3"/>
                <w:szCs w:val="13"/>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Receivable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8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Earnings</w:t>
            </w:r>
          </w:p>
        </w:tc>
        <w:tc>
          <w:tcPr>
            <w:tcW w:w="980" w:type="dxa"/>
            <w:vAlign w:val="bottom"/>
            <w:tcBorders>
              <w:top w:val="single" w:sz="8" w:color="auto"/>
            </w:tcBorders>
            <w:gridSpan w:val="8"/>
          </w:tcPr>
          <w:p>
            <w:pPr>
              <w:jc w:val="right"/>
              <w:spacing w:after="0" w:line="149" w:lineRule="exact"/>
              <w:rPr>
                <w:sz w:val="20"/>
                <w:szCs w:val="20"/>
                <w:color w:val="auto"/>
              </w:rPr>
            </w:pPr>
            <w:r>
              <w:rPr>
                <w:rFonts w:ascii="Arial" w:cs="Arial" w:eastAsia="Arial" w:hAnsi="Arial"/>
                <w:sz w:val="14"/>
                <w:szCs w:val="14"/>
                <w:b w:val="1"/>
                <w:bCs w:val="1"/>
                <w:color w:val="auto"/>
                <w:w w:val="92"/>
              </w:rPr>
              <w:t>Shares 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3"/>
                <w:szCs w:val="13"/>
                <w:color w:val="auto"/>
              </w:rPr>
            </w:pPr>
          </w:p>
        </w:tc>
        <w:tc>
          <w:tcPr>
            <w:tcW w:w="7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500" w:type="dxa"/>
            <w:vAlign w:val="bottom"/>
            <w:tcBorders>
              <w:top w:val="single" w:sz="8" w:color="auto"/>
            </w:tcBorders>
            <w:gridSpan w:val="5"/>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gridSpan w:val="2"/>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480" w:type="dxa"/>
            <w:vAlign w:val="bottom"/>
            <w:tcBorders>
              <w:top w:val="single" w:sz="8" w:color="auto"/>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960" w:type="dxa"/>
            <w:vAlign w:val="bottom"/>
            <w:tcBorders>
              <w:top w:val="single" w:sz="8" w:color="auto"/>
            </w:tcBorders>
            <w:gridSpan w:val="5"/>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40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gridSpan w:val="3"/>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240" w:type="dxa"/>
            <w:vAlign w:val="bottom"/>
            <w:gridSpan w:val="70"/>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7"/>
              </w:rPr>
              <w:t>$ 94,159,167</w:t>
            </w:r>
          </w:p>
        </w:tc>
        <w:tc>
          <w:tcPr>
            <w:tcW w:w="88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$(94,353,522)</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(266,557)</w:t>
            </w:r>
          </w:p>
        </w:tc>
        <w:tc>
          <w:tcPr>
            <w:tcW w:w="8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2"/>
              </w:rPr>
              <w:t>$ 16,045,231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15,589,319</w:t>
            </w:r>
          </w:p>
        </w:tc>
        <w:tc>
          <w:tcPr>
            <w:tcW w:w="88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6"/>
              </w:rPr>
              <w:t>$ (5,537,266)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10,052,053</w:t>
            </w:r>
          </w:p>
        </w:tc>
        <w:tc>
          <w:tcPr>
            <w:tcW w:w="0" w:type="dxa"/>
            <w:vAlign w:val="bottom"/>
          </w:tcPr>
          <w:p>
            <w:pPr>
              <w:spacing w:after="0"/>
              <w:rPr>
                <w:sz w:val="1"/>
                <w:szCs w:val="1"/>
                <w:color w:val="auto"/>
              </w:rPr>
            </w:pPr>
          </w:p>
        </w:tc>
      </w:tr>
      <w:tr>
        <w:trPr>
          <w:trHeight w:val="171"/>
        </w:trPr>
        <w:tc>
          <w:tcPr>
            <w:tcW w:w="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31, 2021</w:t>
            </w:r>
          </w:p>
        </w:tc>
        <w:tc>
          <w:tcPr>
            <w:tcW w:w="5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60" w:type="dxa"/>
            <w:vAlign w:val="bottom"/>
            <w:gridSpan w:val="5"/>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Loan to</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960" w:type="dxa"/>
            <w:vAlign w:val="bottom"/>
            <w:gridSpan w:val="66"/>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w w:val="94"/>
              </w:rPr>
              <w:t>shareholder</w:t>
            </w:r>
          </w:p>
        </w:tc>
        <w:tc>
          <w:tcPr>
            <w:tcW w:w="5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(450,681)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(450,681)</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(450,681)</w:t>
            </w: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spacing w:after="0"/>
              <w:rPr>
                <w:sz w:val="12"/>
                <w:szCs w:val="12"/>
                <w:color w:val="auto"/>
              </w:rPr>
            </w:pPr>
          </w:p>
        </w:tc>
        <w:tc>
          <w:tcPr>
            <w:tcW w:w="1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340" w:type="dxa"/>
            <w:vAlign w:val="bottom"/>
            <w:gridSpan w:val="59"/>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5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(51,203)</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(51,203)</w:t>
            </w: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Net income</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5,811,057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5,811,057</w:t>
            </w:r>
          </w:p>
        </w:tc>
        <w:tc>
          <w:tcPr>
            <w:tcW w:w="8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(7,290)</w:t>
            </w: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5,803,767</w:t>
            </w:r>
          </w:p>
        </w:tc>
        <w:tc>
          <w:tcPr>
            <w:tcW w:w="0" w:type="dxa"/>
            <w:vAlign w:val="bottom"/>
          </w:tcPr>
          <w:p>
            <w:pPr>
              <w:spacing w:after="0"/>
              <w:rPr>
                <w:sz w:val="1"/>
                <w:szCs w:val="1"/>
                <w:color w:val="auto"/>
              </w:rPr>
            </w:pPr>
          </w:p>
        </w:tc>
      </w:tr>
      <w:tr>
        <w:trPr>
          <w:trHeight w:val="148"/>
        </w:trPr>
        <w:tc>
          <w:tcPr>
            <w:tcW w:w="72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auto"/>
            </w:tcBorders>
            <w:gridSpan w:val="5"/>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8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960" w:type="dxa"/>
            <w:vAlign w:val="bottom"/>
            <w:tcBorders>
              <w:top w:val="single" w:sz="8" w:color="auto"/>
            </w:tcBorders>
            <w:gridSpan w:val="5"/>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3"/>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3"/>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240" w:type="dxa"/>
            <w:vAlign w:val="bottom"/>
            <w:gridSpan w:val="70"/>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7"/>
              </w:rPr>
              <w:t>$ 94,159,167</w:t>
            </w:r>
          </w:p>
        </w:tc>
        <w:tc>
          <w:tcPr>
            <w:tcW w:w="88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$(94,804,203)</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(317,760)</w:t>
            </w:r>
          </w:p>
        </w:tc>
        <w:tc>
          <w:tcPr>
            <w:tcW w:w="8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2"/>
              </w:rPr>
              <w:t>$ 21,856,288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20,898,492</w:t>
            </w:r>
          </w:p>
        </w:tc>
        <w:tc>
          <w:tcPr>
            <w:tcW w:w="88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6"/>
              </w:rPr>
              <w:t>$ (5,544,556)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15,353,936</w:t>
            </w:r>
          </w:p>
        </w:tc>
        <w:tc>
          <w:tcPr>
            <w:tcW w:w="0" w:type="dxa"/>
            <w:vAlign w:val="bottom"/>
          </w:tcPr>
          <w:p>
            <w:pPr>
              <w:spacing w:after="0"/>
              <w:rPr>
                <w:sz w:val="1"/>
                <w:szCs w:val="1"/>
                <w:color w:val="auto"/>
              </w:rPr>
            </w:pPr>
          </w:p>
        </w:tc>
      </w:tr>
      <w:tr>
        <w:trPr>
          <w:trHeight w:val="171"/>
        </w:trPr>
        <w:tc>
          <w:tcPr>
            <w:tcW w:w="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5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60" w:type="dxa"/>
            <w:vAlign w:val="bottom"/>
            <w:gridSpan w:val="5"/>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Loan to</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w w:val="94"/>
              </w:rPr>
              <w:t>shareholder</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(130,197)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(130,197)</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(130,197)</w:t>
            </w: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Dividend</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distribution</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(81,278,112)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94,934,400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(21,856,288)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(8,200,000)</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94"/>
              </w:rPr>
              <w:t>(8,200,000)</w:t>
            </w: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8"/>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(31,199)</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(31,199)</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(31,199)</w:t>
            </w: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(1,054,297)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(1,054,297)</w:t>
            </w:r>
          </w:p>
        </w:tc>
        <w:tc>
          <w:tcPr>
            <w:tcW w:w="88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70,466</w:t>
            </w: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(983,831)</w:t>
            </w:r>
          </w:p>
        </w:tc>
        <w:tc>
          <w:tcPr>
            <w:tcW w:w="0" w:type="dxa"/>
            <w:vAlign w:val="bottom"/>
          </w:tcPr>
          <w:p>
            <w:pPr>
              <w:spacing w:after="0"/>
              <w:rPr>
                <w:sz w:val="1"/>
                <w:szCs w:val="1"/>
                <w:color w:val="auto"/>
              </w:rPr>
            </w:pPr>
          </w:p>
        </w:tc>
      </w:tr>
      <w:tr>
        <w:trPr>
          <w:trHeight w:val="149"/>
        </w:trPr>
        <w:tc>
          <w:tcPr>
            <w:tcW w:w="72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auto"/>
            </w:tcBorders>
            <w:gridSpan w:val="5"/>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8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960" w:type="dxa"/>
            <w:vAlign w:val="bottom"/>
            <w:tcBorders>
              <w:top w:val="single" w:sz="8" w:color="auto"/>
            </w:tcBorders>
            <w:gridSpan w:val="5"/>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3"/>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3"/>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240" w:type="dxa"/>
            <w:vAlign w:val="bottom"/>
            <w:gridSpan w:val="70"/>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12,881,055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(348,959)</w:t>
            </w: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(1,054,297)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11,482,799</w:t>
            </w:r>
          </w:p>
        </w:tc>
        <w:tc>
          <w:tcPr>
            <w:tcW w:w="88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(5,474,090)</w:t>
            </w: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6,008,709</w:t>
            </w:r>
          </w:p>
        </w:tc>
        <w:tc>
          <w:tcPr>
            <w:tcW w:w="0" w:type="dxa"/>
            <w:vAlign w:val="bottom"/>
          </w:tcPr>
          <w:p>
            <w:pPr>
              <w:spacing w:after="0"/>
              <w:rPr>
                <w:sz w:val="1"/>
                <w:szCs w:val="1"/>
                <w:color w:val="auto"/>
              </w:rPr>
            </w:pPr>
          </w:p>
        </w:tc>
      </w:tr>
      <w:tr>
        <w:trPr>
          <w:trHeight w:val="171"/>
        </w:trPr>
        <w:tc>
          <w:tcPr>
            <w:tcW w:w="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5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5"/>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5,682</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5,682</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5,682</w:t>
            </w: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(1,538,738)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(1,538,738)</w:t>
            </w:r>
          </w:p>
        </w:tc>
        <w:tc>
          <w:tcPr>
            <w:tcW w:w="8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(6,828)</w:t>
            </w: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(1,545,566)</w:t>
            </w:r>
          </w:p>
        </w:tc>
        <w:tc>
          <w:tcPr>
            <w:tcW w:w="0" w:type="dxa"/>
            <w:vAlign w:val="bottom"/>
          </w:tcPr>
          <w:p>
            <w:pPr>
              <w:spacing w:after="0"/>
              <w:rPr>
                <w:sz w:val="1"/>
                <w:szCs w:val="1"/>
                <w:color w:val="auto"/>
              </w:rPr>
            </w:pPr>
          </w:p>
        </w:tc>
      </w:tr>
      <w:tr>
        <w:trPr>
          <w:trHeight w:val="148"/>
        </w:trPr>
        <w:tc>
          <w:tcPr>
            <w:tcW w:w="72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auto"/>
            </w:tcBorders>
            <w:gridSpan w:val="5"/>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8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960" w:type="dxa"/>
            <w:vAlign w:val="bottom"/>
            <w:tcBorders>
              <w:top w:val="single" w:sz="8" w:color="auto"/>
            </w:tcBorders>
            <w:gridSpan w:val="5"/>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3"/>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3"/>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240" w:type="dxa"/>
            <w:vAlign w:val="bottom"/>
            <w:gridSpan w:val="70"/>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September</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7"/>
              </w:rPr>
              <w:t>$ 12,881,055</w:t>
            </w:r>
          </w:p>
        </w:tc>
        <w:tc>
          <w:tcPr>
            <w:tcW w:w="1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(343,277) $</w:t>
            </w: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(2,593,035)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9,949,743</w:t>
            </w:r>
          </w:p>
        </w:tc>
        <w:tc>
          <w:tcPr>
            <w:tcW w:w="88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6"/>
              </w:rPr>
              <w:t>$ (5,480,918)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4,468,825</w:t>
            </w:r>
          </w:p>
        </w:tc>
        <w:tc>
          <w:tcPr>
            <w:tcW w:w="0" w:type="dxa"/>
            <w:vAlign w:val="bottom"/>
          </w:tcPr>
          <w:p>
            <w:pPr>
              <w:spacing w:after="0"/>
              <w:rPr>
                <w:sz w:val="1"/>
                <w:szCs w:val="1"/>
                <w:color w:val="auto"/>
              </w:rPr>
            </w:pPr>
          </w:p>
        </w:tc>
      </w:tr>
      <w:tr>
        <w:trPr>
          <w:trHeight w:val="158"/>
        </w:trPr>
        <w:tc>
          <w:tcPr>
            <w:tcW w:w="7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30, 2022</w:t>
            </w:r>
          </w:p>
        </w:tc>
        <w:tc>
          <w:tcPr>
            <w:tcW w:w="560" w:type="dxa"/>
            <w:vAlign w:val="bottom"/>
            <w:gridSpan w:val="3"/>
            <w:vMerge w:val="continue"/>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460" w:type="dxa"/>
            <w:vAlign w:val="bottom"/>
            <w:gridSpan w:val="5"/>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3"/>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460" w:type="dxa"/>
            <w:vAlign w:val="bottom"/>
            <w:gridSpan w:val="3"/>
            <w:vMerge w:val="continue"/>
            <w:shd w:val="clear" w:color="auto" w:fill="CCEEFF"/>
          </w:tcPr>
          <w:p>
            <w:pPr>
              <w:spacing w:after="0"/>
              <w:rPr>
                <w:sz w:val="13"/>
                <w:szCs w:val="13"/>
                <w:color w:val="auto"/>
              </w:rPr>
            </w:pPr>
          </w:p>
        </w:tc>
        <w:tc>
          <w:tcPr>
            <w:tcW w:w="880" w:type="dxa"/>
            <w:vAlign w:val="bottom"/>
            <w:gridSpan w:val="4"/>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3"/>
            <w:vMerge w:val="continue"/>
            <w:shd w:val="clear" w:color="auto" w:fill="CCEEFF"/>
          </w:tcPr>
          <w:p>
            <w:pPr>
              <w:spacing w:after="0"/>
              <w:rPr>
                <w:sz w:val="13"/>
                <w:szCs w:val="13"/>
                <w:color w:val="auto"/>
              </w:rPr>
            </w:pPr>
          </w:p>
        </w:tc>
        <w:tc>
          <w:tcPr>
            <w:tcW w:w="76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3"/>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3"/>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880" w:type="dxa"/>
            <w:vAlign w:val="bottom"/>
            <w:gridSpan w:val="5"/>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 Common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82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Non</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1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9"/>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7"/>
              </w:rPr>
              <w:t>Snail, Inc.</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7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7"/>
          </w:tcPr>
          <w:p>
            <w:pPr>
              <w:spacing w:after="0"/>
              <w:rPr>
                <w:sz w:val="20"/>
                <w:szCs w:val="20"/>
                <w:color w:val="auto"/>
              </w:rPr>
            </w:pPr>
            <w:r>
              <w:rPr>
                <w:rFonts w:ascii="Arial" w:cs="Arial" w:eastAsia="Arial" w:hAnsi="Arial"/>
                <w:sz w:val="14"/>
                <w:szCs w:val="14"/>
                <w:b w:val="1"/>
                <w:bCs w:val="1"/>
                <w:color w:val="auto"/>
                <w:w w:val="97"/>
              </w:rPr>
              <w:t>Comprehensive</w:t>
            </w:r>
          </w:p>
        </w:tc>
        <w:tc>
          <w:tcPr>
            <w:tcW w:w="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7"/>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040" w:type="dxa"/>
            <w:vAlign w:val="bottom"/>
            <w:gridSpan w:val="2"/>
          </w:tcPr>
          <w:p>
            <w:pPr>
              <w:spacing w:after="0"/>
              <w:rPr>
                <w:sz w:val="12"/>
                <w:szCs w:val="12"/>
                <w:color w:val="auto"/>
              </w:rPr>
            </w:pPr>
          </w:p>
        </w:tc>
        <w:tc>
          <w:tcPr>
            <w:tcW w:w="640" w:type="dxa"/>
            <w:vAlign w:val="bottom"/>
            <w:tcBorders>
              <w:top w:val="single" w:sz="8" w:color="auto"/>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540" w:type="dxa"/>
            <w:vAlign w:val="bottom"/>
            <w:tcBorders>
              <w:top w:val="single" w:sz="8" w:color="auto"/>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70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640" w:type="dxa"/>
            <w:vAlign w:val="bottom"/>
            <w:tcBorders>
              <w:top w:val="single" w:sz="8" w:color="auto"/>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940" w:type="dxa"/>
            <w:vAlign w:val="bottom"/>
            <w:tcBorders>
              <w:top w:val="single" w:sz="8" w:color="auto"/>
            </w:tcBorders>
            <w:gridSpan w:val="6"/>
          </w:tcPr>
          <w:p>
            <w:pPr>
              <w:spacing w:after="0"/>
              <w:rPr>
                <w:sz w:val="12"/>
                <w:szCs w:val="12"/>
                <w:color w:val="auto"/>
              </w:rPr>
            </w:pPr>
          </w:p>
        </w:tc>
        <w:tc>
          <w:tcPr>
            <w:tcW w:w="140" w:type="dxa"/>
            <w:vAlign w:val="bottom"/>
            <w:gridSpan w:val="2"/>
          </w:tcPr>
          <w:p>
            <w:pPr>
              <w:spacing w:after="0"/>
              <w:rPr>
                <w:sz w:val="12"/>
                <w:szCs w:val="12"/>
                <w:color w:val="auto"/>
              </w:rPr>
            </w:pPr>
          </w:p>
        </w:tc>
        <w:tc>
          <w:tcPr>
            <w:tcW w:w="860" w:type="dxa"/>
            <w:vAlign w:val="bottom"/>
            <w:tcBorders>
              <w:top w:val="single" w:sz="8" w:color="auto"/>
            </w:tcBorders>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720" w:type="dxa"/>
            <w:vAlign w:val="bottom"/>
            <w:tcBorders>
              <w:top w:val="single" w:sz="8" w:color="auto"/>
            </w:tcBorders>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740" w:type="dxa"/>
            <w:vAlign w:val="bottom"/>
            <w:tcBorders>
              <w:top w:val="single" w:sz="8" w:color="auto"/>
            </w:tcBorders>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720" w:type="dxa"/>
            <w:vAlign w:val="bottom"/>
            <w:tcBorders>
              <w:top w:val="single" w:sz="8" w:color="auto"/>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240" w:type="dxa"/>
            <w:vAlign w:val="bottom"/>
            <w:gridSpan w:val="70"/>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1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925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28,748,580</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2,875</w:t>
            </w:r>
          </w:p>
        </w:tc>
        <w:tc>
          <w:tcPr>
            <w:tcW w:w="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8"/>
              </w:rPr>
              <w:t>$ 23,436,942</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(307,200)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(4,863,250)</w:t>
            </w:r>
          </w:p>
        </w:tc>
        <w:tc>
          <w:tcPr>
            <w:tcW w:w="82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(1,197,649)</w:t>
            </w:r>
          </w:p>
        </w:tc>
        <w:tc>
          <w:tcPr>
            <w:tcW w:w="88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(3,414,713)</w:t>
            </w:r>
          </w:p>
        </w:tc>
        <w:tc>
          <w:tcPr>
            <w:tcW w:w="900" w:type="dxa"/>
            <w:vAlign w:val="bottom"/>
            <w:gridSpan w:val="6"/>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$ 14,855,579</w:t>
            </w:r>
          </w:p>
        </w:tc>
        <w:tc>
          <w:tcPr>
            <w:tcW w:w="40" w:type="dxa"/>
            <w:vAlign w:val="bottom"/>
            <w:shd w:val="clear" w:color="auto" w:fill="CCEEFF"/>
          </w:tcPr>
          <w:p>
            <w:pPr>
              <w:spacing w:after="0"/>
              <w:rPr>
                <w:sz w:val="12"/>
                <w:szCs w:val="12"/>
                <w:color w:val="auto"/>
              </w:rPr>
            </w:pPr>
          </w:p>
        </w:tc>
        <w:tc>
          <w:tcPr>
            <w:tcW w:w="88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 (5,490,895)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9"/>
              </w:rPr>
              <w:t>9,364,684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7"/>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9,251,420</w:t>
            </w:r>
          </w:p>
        </w:tc>
        <w:tc>
          <w:tcPr>
            <w:tcW w:w="180" w:type="dxa"/>
            <w:vAlign w:val="bottom"/>
            <w:gridSpan w:val="3"/>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920" w:type="dxa"/>
            <w:vAlign w:val="bottom"/>
            <w:gridSpan w:val="5"/>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820" w:type="dxa"/>
            <w:vAlign w:val="bottom"/>
            <w:gridSpan w:val="5"/>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900" w:type="dxa"/>
            <w:vAlign w:val="bottom"/>
            <w:gridSpan w:val="6"/>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w w:val="90"/>
              </w:rPr>
              <w:t>Stock based</w:t>
            </w:r>
          </w:p>
        </w:tc>
        <w:tc>
          <w:tcPr>
            <w:tcW w:w="0" w:type="dxa"/>
            <w:vAlign w:val="bottom"/>
          </w:tcPr>
          <w:p>
            <w:pPr>
              <w:spacing w:after="0"/>
              <w:rPr>
                <w:sz w:val="1"/>
                <w:szCs w:val="1"/>
                <w:color w:val="auto"/>
              </w:rPr>
            </w:pPr>
          </w:p>
        </w:tc>
      </w:tr>
      <w:tr>
        <w:trPr>
          <w:trHeight w:val="148"/>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related to</w:t>
            </w:r>
          </w:p>
        </w:tc>
        <w:tc>
          <w:tcPr>
            <w:tcW w:w="0" w:type="dxa"/>
            <w:vAlign w:val="bottom"/>
          </w:tcPr>
          <w:p>
            <w:pPr>
              <w:spacing w:after="0"/>
              <w:rPr>
                <w:sz w:val="1"/>
                <w:szCs w:val="1"/>
                <w:color w:val="auto"/>
              </w:rPr>
            </w:pPr>
          </w:p>
        </w:tc>
      </w:tr>
      <w:tr>
        <w:trPr>
          <w:trHeight w:val="148"/>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restricted stock</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152,595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152,595</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152,595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Repurchase of</w:t>
            </w:r>
          </w:p>
        </w:tc>
        <w:tc>
          <w:tcPr>
            <w:tcW w:w="0" w:type="dxa"/>
            <w:vAlign w:val="bottom"/>
          </w:tcPr>
          <w:p>
            <w:pPr>
              <w:spacing w:after="0"/>
              <w:rPr>
                <w:sz w:val="1"/>
                <w:szCs w:val="1"/>
                <w:color w:val="auto"/>
              </w:rPr>
            </w:pPr>
          </w:p>
        </w:tc>
      </w:tr>
      <w:tr>
        <w:trPr>
          <w:trHeight w:val="167"/>
        </w:trPr>
        <w:tc>
          <w:tcPr>
            <w:tcW w:w="12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common stock</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(152,626)</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(257,093)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(257,093)</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(257,093)</w:t>
            </w: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8"/>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5"/>
            <w:shd w:val="clear" w:color="auto" w:fill="CCEEFF"/>
          </w:tcPr>
          <w:p>
            <w:pPr>
              <w:jc w:val="right"/>
              <w:ind w:right="28"/>
              <w:spacing w:after="0"/>
              <w:rPr>
                <w:sz w:val="20"/>
                <w:szCs w:val="20"/>
                <w:color w:val="auto"/>
              </w:rPr>
            </w:pPr>
            <w:r>
              <w:rPr>
                <w:rFonts w:ascii="Arial" w:cs="Arial" w:eastAsia="Arial" w:hAnsi="Arial"/>
                <w:sz w:val="14"/>
                <w:szCs w:val="14"/>
                <w:color w:val="auto"/>
              </w:rPr>
              <w:t>2,320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2,320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(2,971,378)</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4"/>
              </w:rPr>
              <w:t>(2,971,378)</w:t>
            </w:r>
          </w:p>
        </w:tc>
        <w:tc>
          <w:tcPr>
            <w:tcW w:w="4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2"/>
              </w:rPr>
              <w:t>(2,972,597)</w:t>
            </w:r>
          </w:p>
        </w:tc>
        <w:tc>
          <w:tcPr>
            <w:tcW w:w="0" w:type="dxa"/>
            <w:vAlign w:val="bottom"/>
          </w:tcPr>
          <w:p>
            <w:pPr>
              <w:spacing w:after="0"/>
              <w:rPr>
                <w:sz w:val="1"/>
                <w:szCs w:val="1"/>
                <w:color w:val="auto"/>
              </w:rPr>
            </w:pPr>
          </w:p>
        </w:tc>
      </w:tr>
      <w:tr>
        <w:trPr>
          <w:trHeight w:val="148"/>
        </w:trPr>
        <w:tc>
          <w:tcPr>
            <w:tcW w:w="1040" w:type="dxa"/>
            <w:vAlign w:val="bottom"/>
            <w:tcBorders>
              <w:top w:val="single" w:sz="8" w:color="CCEEFF"/>
            </w:tcBorders>
            <w:gridSpan w:val="2"/>
          </w:tcPr>
          <w:p>
            <w:pPr>
              <w:spacing w:after="0"/>
              <w:rPr>
                <w:sz w:val="12"/>
                <w:szCs w:val="12"/>
                <w:color w:val="auto"/>
              </w:rPr>
            </w:pPr>
          </w:p>
        </w:tc>
        <w:tc>
          <w:tcPr>
            <w:tcW w:w="640" w:type="dxa"/>
            <w:vAlign w:val="bottom"/>
            <w:tcBorders>
              <w:top w:val="single" w:sz="8" w:color="auto"/>
            </w:tcBorders>
            <w:gridSpan w:val="5"/>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54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auto"/>
            </w:tcBorders>
            <w:gridSpan w:val="4"/>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64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940" w:type="dxa"/>
            <w:vAlign w:val="bottom"/>
            <w:tcBorders>
              <w:top w:val="single" w:sz="8" w:color="auto"/>
            </w:tcBorders>
            <w:gridSpan w:val="6"/>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86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CCEEFF"/>
            </w:tcBorders>
            <w:gridSpan w:val="3"/>
          </w:tcPr>
          <w:p>
            <w:pPr>
              <w:spacing w:after="0"/>
              <w:rPr>
                <w:sz w:val="12"/>
                <w:szCs w:val="12"/>
                <w:color w:val="auto"/>
              </w:rPr>
            </w:pPr>
          </w:p>
        </w:tc>
        <w:tc>
          <w:tcPr>
            <w:tcW w:w="72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4"/>
          </w:tcPr>
          <w:p>
            <w:pPr>
              <w:spacing w:after="0"/>
              <w:rPr>
                <w:sz w:val="12"/>
                <w:szCs w:val="12"/>
                <w:color w:val="auto"/>
              </w:rPr>
            </w:pPr>
          </w:p>
        </w:tc>
        <w:tc>
          <w:tcPr>
            <w:tcW w:w="160" w:type="dxa"/>
            <w:vAlign w:val="bottom"/>
            <w:tcBorders>
              <w:top w:val="single" w:sz="8" w:color="CCEEFF"/>
            </w:tcBorders>
            <w:gridSpan w:val="3"/>
          </w:tcPr>
          <w:p>
            <w:pPr>
              <w:spacing w:after="0"/>
              <w:rPr>
                <w:sz w:val="12"/>
                <w:szCs w:val="12"/>
                <w:color w:val="auto"/>
              </w:rPr>
            </w:pPr>
          </w:p>
        </w:tc>
        <w:tc>
          <w:tcPr>
            <w:tcW w:w="72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Balance at</w:t>
            </w: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925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28,748,580</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2,875</w:t>
            </w:r>
          </w:p>
        </w:tc>
        <w:tc>
          <w:tcPr>
            <w:tcW w:w="6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8"/>
              </w:rPr>
              <w:t>$ 23,589,537</w:t>
            </w:r>
          </w:p>
        </w:tc>
        <w:tc>
          <w:tcPr>
            <w:tcW w:w="6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(304,880)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(7,834,628)</w:t>
            </w:r>
          </w:p>
        </w:tc>
        <w:tc>
          <w:tcPr>
            <w:tcW w:w="82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(1,350,275)</w:t>
            </w:r>
          </w:p>
        </w:tc>
        <w:tc>
          <w:tcPr>
            <w:tcW w:w="88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(3,671,806)</w:t>
            </w:r>
          </w:p>
        </w:tc>
        <w:tc>
          <w:tcPr>
            <w:tcW w:w="900" w:type="dxa"/>
            <w:vAlign w:val="bottom"/>
            <w:gridSpan w:val="6"/>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$ 11,782,023</w:t>
            </w:r>
          </w:p>
        </w:tc>
        <w:tc>
          <w:tcPr>
            <w:tcW w:w="40" w:type="dxa"/>
            <w:vAlign w:val="bottom"/>
            <w:shd w:val="clear" w:color="auto" w:fill="CCEEFF"/>
          </w:tcPr>
          <w:p>
            <w:pPr>
              <w:spacing w:after="0"/>
              <w:rPr>
                <w:sz w:val="10"/>
                <w:szCs w:val="10"/>
                <w:color w:val="auto"/>
              </w:rPr>
            </w:pPr>
          </w:p>
        </w:tc>
        <w:tc>
          <w:tcPr>
            <w:tcW w:w="88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 (5,492,114)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9"/>
              </w:rPr>
              <w:t>6,289,909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March 31, 2023  9,251,420</w:t>
            </w:r>
          </w:p>
        </w:tc>
        <w:tc>
          <w:tcPr>
            <w:tcW w:w="180" w:type="dxa"/>
            <w:vAlign w:val="bottom"/>
            <w:gridSpan w:val="3"/>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920" w:type="dxa"/>
            <w:vAlign w:val="bottom"/>
            <w:gridSpan w:val="5"/>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820" w:type="dxa"/>
            <w:vAlign w:val="bottom"/>
            <w:gridSpan w:val="5"/>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900" w:type="dxa"/>
            <w:vAlign w:val="bottom"/>
            <w:gridSpan w:val="6"/>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Return of</w:t>
            </w:r>
          </w:p>
        </w:tc>
        <w:tc>
          <w:tcPr>
            <w:tcW w:w="0" w:type="dxa"/>
            <w:vAlign w:val="bottom"/>
          </w:tcPr>
          <w:p>
            <w:pPr>
              <w:spacing w:after="0"/>
              <w:rPr>
                <w:sz w:val="1"/>
                <w:szCs w:val="1"/>
                <w:color w:val="auto"/>
              </w:rPr>
            </w:pPr>
          </w:p>
        </w:tc>
      </w:tr>
      <w:tr>
        <w:trPr>
          <w:trHeight w:val="148"/>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dividend</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distribution tax</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w w:val="99"/>
              </w:rPr>
              <w:t>withholding</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payment</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1,886,600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9"/>
              </w:rPr>
              <w:t>1,886,600</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1,886,600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w w:val="90"/>
              </w:rPr>
              <w:t>Stock based</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related to</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restricted stock</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232,770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232,770</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232,770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70"/>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0" w:type="dxa"/>
            <w:vAlign w:val="bottom"/>
          </w:tcPr>
          <w:p>
            <w:pPr>
              <w:spacing w:after="0"/>
              <w:rPr>
                <w:sz w:val="1"/>
                <w:szCs w:val="1"/>
                <w:color w:val="auto"/>
              </w:rPr>
            </w:pPr>
          </w:p>
        </w:tc>
      </w:tr>
      <w:tr>
        <w:trPr>
          <w:trHeight w:val="149"/>
        </w:trPr>
        <w:tc>
          <w:tcPr>
            <w:tcW w:w="11240" w:type="dxa"/>
            <w:vAlign w:val="bottom"/>
            <w:gridSpan w:val="70"/>
            <w:shd w:val="clear" w:color="auto" w:fill="CCEEFF"/>
          </w:tcPr>
          <w:p>
            <w:pPr>
              <w:spacing w:after="0" w:line="149"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5"/>
            <w:shd w:val="clear" w:color="auto" w:fill="CCEEFF"/>
          </w:tcPr>
          <w:p>
            <w:pPr>
              <w:jc w:val="right"/>
              <w:ind w:right="28"/>
              <w:spacing w:after="0"/>
              <w:rPr>
                <w:sz w:val="20"/>
                <w:szCs w:val="20"/>
                <w:color w:val="auto"/>
              </w:rPr>
            </w:pPr>
            <w:r>
              <w:rPr>
                <w:rFonts w:ascii="Arial" w:cs="Arial" w:eastAsia="Arial" w:hAnsi="Arial"/>
                <w:sz w:val="14"/>
                <w:szCs w:val="14"/>
                <w:color w:val="auto"/>
              </w:rPr>
              <w:t>18,707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18,707</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18,707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40" w:type="dxa"/>
            <w:vAlign w:val="bottom"/>
            <w:gridSpan w:val="70"/>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(4,079,431)</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4"/>
              </w:rPr>
              <w:t>(4,079,431)</w:t>
            </w:r>
          </w:p>
        </w:tc>
        <w:tc>
          <w:tcPr>
            <w:tcW w:w="4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(4,464)</w:t>
            </w: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2"/>
              </w:rPr>
              <w:t>(4,083,895)</w:t>
            </w:r>
          </w:p>
        </w:tc>
        <w:tc>
          <w:tcPr>
            <w:tcW w:w="0" w:type="dxa"/>
            <w:vAlign w:val="bottom"/>
          </w:tcPr>
          <w:p>
            <w:pPr>
              <w:spacing w:after="0"/>
              <w:rPr>
                <w:sz w:val="1"/>
                <w:szCs w:val="1"/>
                <w:color w:val="auto"/>
              </w:rPr>
            </w:pPr>
          </w:p>
        </w:tc>
      </w:tr>
      <w:tr>
        <w:trPr>
          <w:trHeight w:val="148"/>
        </w:trPr>
        <w:tc>
          <w:tcPr>
            <w:tcW w:w="1040" w:type="dxa"/>
            <w:vAlign w:val="bottom"/>
            <w:tcBorders>
              <w:top w:val="single" w:sz="8" w:color="CCEEFF"/>
            </w:tcBorders>
            <w:gridSpan w:val="2"/>
          </w:tcPr>
          <w:p>
            <w:pPr>
              <w:spacing w:after="0"/>
              <w:rPr>
                <w:sz w:val="12"/>
                <w:szCs w:val="12"/>
                <w:color w:val="auto"/>
              </w:rPr>
            </w:pPr>
          </w:p>
        </w:tc>
        <w:tc>
          <w:tcPr>
            <w:tcW w:w="640" w:type="dxa"/>
            <w:vAlign w:val="bottom"/>
            <w:tcBorders>
              <w:top w:val="single" w:sz="8" w:color="auto"/>
            </w:tcBorders>
            <w:gridSpan w:val="5"/>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54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auto"/>
            </w:tcBorders>
            <w:gridSpan w:val="4"/>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64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940" w:type="dxa"/>
            <w:vAlign w:val="bottom"/>
            <w:tcBorders>
              <w:top w:val="single" w:sz="8" w:color="auto"/>
            </w:tcBorders>
            <w:gridSpan w:val="6"/>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86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CCEEFF"/>
            </w:tcBorders>
            <w:gridSpan w:val="3"/>
          </w:tcPr>
          <w:p>
            <w:pPr>
              <w:spacing w:after="0"/>
              <w:rPr>
                <w:sz w:val="12"/>
                <w:szCs w:val="12"/>
                <w:color w:val="auto"/>
              </w:rPr>
            </w:pPr>
          </w:p>
        </w:tc>
        <w:tc>
          <w:tcPr>
            <w:tcW w:w="72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4"/>
          </w:tcPr>
          <w:p>
            <w:pPr>
              <w:spacing w:after="0"/>
              <w:rPr>
                <w:sz w:val="12"/>
                <w:szCs w:val="12"/>
                <w:color w:val="auto"/>
              </w:rPr>
            </w:pPr>
          </w:p>
        </w:tc>
        <w:tc>
          <w:tcPr>
            <w:tcW w:w="160" w:type="dxa"/>
            <w:vAlign w:val="bottom"/>
            <w:tcBorders>
              <w:top w:val="single" w:sz="8" w:color="CCEEFF"/>
            </w:tcBorders>
            <w:gridSpan w:val="3"/>
          </w:tcPr>
          <w:p>
            <w:pPr>
              <w:spacing w:after="0"/>
              <w:rPr>
                <w:sz w:val="12"/>
                <w:szCs w:val="12"/>
                <w:color w:val="auto"/>
              </w:rPr>
            </w:pPr>
          </w:p>
        </w:tc>
        <w:tc>
          <w:tcPr>
            <w:tcW w:w="72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gridSpan w:val="4"/>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June</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925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28,748,580</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2,875</w:t>
            </w:r>
          </w:p>
        </w:tc>
        <w:tc>
          <w:tcPr>
            <w:tcW w:w="6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8"/>
              </w:rPr>
              <w:t>$ 25,708,907</w:t>
            </w:r>
          </w:p>
        </w:tc>
        <w:tc>
          <w:tcPr>
            <w:tcW w:w="6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(286,173)</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(11,914,059)</w:t>
            </w:r>
          </w:p>
        </w:tc>
        <w:tc>
          <w:tcPr>
            <w:tcW w:w="82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(1,350,275)</w:t>
            </w:r>
          </w:p>
        </w:tc>
        <w:tc>
          <w:tcPr>
            <w:tcW w:w="88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(3,671,806)</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9,840,669</w:t>
            </w:r>
          </w:p>
        </w:tc>
        <w:tc>
          <w:tcPr>
            <w:tcW w:w="40" w:type="dxa"/>
            <w:vAlign w:val="bottom"/>
            <w:shd w:val="clear" w:color="auto" w:fill="CCEEFF"/>
          </w:tcPr>
          <w:p>
            <w:pPr>
              <w:spacing w:after="0"/>
              <w:rPr>
                <w:sz w:val="10"/>
                <w:szCs w:val="10"/>
                <w:color w:val="auto"/>
              </w:rPr>
            </w:pPr>
          </w:p>
        </w:tc>
        <w:tc>
          <w:tcPr>
            <w:tcW w:w="88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 (5,496,578)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9"/>
              </w:rPr>
              <w:t>4,344,091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30, 2023</w:t>
            </w:r>
          </w:p>
        </w:tc>
        <w:tc>
          <w:tcPr>
            <w:tcW w:w="1000" w:type="dxa"/>
            <w:vAlign w:val="bottom"/>
            <w:gridSpan w:val="7"/>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9,251,420</w:t>
            </w:r>
          </w:p>
        </w:tc>
        <w:tc>
          <w:tcPr>
            <w:tcW w:w="180" w:type="dxa"/>
            <w:vAlign w:val="bottom"/>
            <w:gridSpan w:val="3"/>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920" w:type="dxa"/>
            <w:vAlign w:val="bottom"/>
            <w:gridSpan w:val="5"/>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820" w:type="dxa"/>
            <w:vAlign w:val="bottom"/>
            <w:gridSpan w:val="5"/>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60" w:type="dxa"/>
            <w:vAlign w:val="bottom"/>
            <w:gridSpan w:val="3"/>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spacing w:after="0"/>
              <w:rPr>
                <w:sz w:val="20"/>
                <w:szCs w:val="20"/>
                <w:color w:val="auto"/>
              </w:rPr>
            </w:pPr>
            <w:r>
              <w:rPr>
                <w:rFonts w:ascii="Arial" w:cs="Arial" w:eastAsia="Arial" w:hAnsi="Arial"/>
                <w:sz w:val="14"/>
                <w:szCs w:val="14"/>
                <w:color w:val="auto"/>
                <w:w w:val="90"/>
              </w:rPr>
              <w:t>Stock based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236,642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3"/>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236,642</w:t>
            </w:r>
          </w:p>
        </w:tc>
        <w:tc>
          <w:tcPr>
            <w:tcW w:w="4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236,642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36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6576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compensation</w:t>
      </w:r>
    </w:p>
    <w:p>
      <w:pPr>
        <w:spacing w:after="0"/>
        <w:rPr>
          <w:sz w:val="20"/>
          <w:szCs w:val="20"/>
          <w:color w:val="auto"/>
        </w:rPr>
      </w:pPr>
      <w:r>
        <w:rPr>
          <w:rFonts w:ascii="Arial" w:cs="Arial" w:eastAsia="Arial" w:hAnsi="Arial"/>
          <w:sz w:val="14"/>
          <w:szCs w:val="14"/>
          <w:color w:val="auto"/>
        </w:rPr>
        <w:t>related to</w:t>
      </w:r>
    </w:p>
    <w:p>
      <w:pPr>
        <w:sectPr>
          <w:pgSz w:w="11900" w:h="16838" w:orient="portrait"/>
          <w:cols w:equalWidth="0" w:num="1">
            <w:col w:w="11240"/>
          </w:cols>
          <w:pgMar w:left="320" w:top="688" w:right="339" w:bottom="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units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Foreign</w:t>
            </w: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(4,432,632)</w:t>
            </w: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(4,432,632)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(1,539)</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(4,434,171)</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9,251,420</w:t>
            </w: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28,748,580</w:t>
            </w:r>
          </w:p>
        </w:tc>
        <w:tc>
          <w:tcPr>
            <w:tcW w:w="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2,875</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5"/>
              </w:rPr>
              <w:t>$ 25,945,549</w:t>
            </w:r>
          </w:p>
        </w:tc>
        <w:tc>
          <w:tcPr>
            <w:tcW w:w="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(287,685)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(16,346,691)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(1,350,275)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 (3,671,806)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9"/>
              </w:rPr>
              <w:t>5,643,167</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 (5,498,117)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145,050</w:t>
            </w:r>
          </w:p>
        </w:tc>
        <w:tc>
          <w:tcPr>
            <w:tcW w:w="0" w:type="dxa"/>
            <w:vAlign w:val="bottom"/>
          </w:tcPr>
          <w:p>
            <w:pPr>
              <w:spacing w:after="0"/>
              <w:rPr>
                <w:sz w:val="1"/>
                <w:szCs w:val="1"/>
                <w:color w:val="auto"/>
              </w:rPr>
            </w:pPr>
          </w:p>
        </w:tc>
      </w:tr>
      <w:tr>
        <w:trPr>
          <w:trHeight w:val="171"/>
        </w:trPr>
        <w:tc>
          <w:tcPr>
            <w:tcW w:w="1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2023</w:t>
            </w:r>
          </w:p>
        </w:tc>
        <w:tc>
          <w:tcPr>
            <w:tcW w:w="7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For the Nine Month Period Ended September 30,</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i w:val="1"/>
                <w:iCs w:val="1"/>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i w:val="1"/>
                <w:i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(loss) income</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(11,490,663)</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3,274,370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Amortization - intangible assets - license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 intangible assets - license, related parties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1,253,623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5,552,938</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Amortization - intangible assets - other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Amortization - loan origination fees and debt discounts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142,656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 property and equipment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346,084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435,644</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622,007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lease termination</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w w:val="98"/>
              </w:rPr>
              <w:t>Gain on paycheck protection program and economic injury disaster loan forgiveness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(174,436)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disposal of fixed assets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Interest income from shareholder loan</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(580,878)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from restricted escrow deposit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(33,935)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(3,058,738)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2,674,655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7,648,432</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receivable - related party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(255,045)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(3,803,606)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 related party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156,450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(2,232,406)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846,553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2,905,024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(248,391)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(1,402,791)</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134,131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(127,993)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receivable - related parties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Interest payable - related parties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(148,233)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(103,782)</w:t>
            </w: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767,883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(7,297,736)</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(10,794,759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Repayment on loan provided by related party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on Pound Sand note</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1,496,063</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promissory note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(59,589)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(57,967)</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Repayments on notes payable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(3,750,000)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revolving loan</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Borrowings on notes payable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2,275,000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on short-term note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issuance of convertible notes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847,500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 of dividend withholding tax overpayment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1,886,600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Payments on paycheck protection program and economic injury disaster loan</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(90,198)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Refund of payments on paycheck protection program and economic injury disaster loan</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48,305</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 dividend declared and paid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(8,200,000)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(257,093)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Payments of offering costs in accounts payable</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(342,318)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(2,399,900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on cash and cash equivalents</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20,390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(52,810)</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decrease in cash and cash equivalents, and restricted cash and cash equivalents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(13,174,269)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(1,141,433)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and cash equivalents, and restricted cash and cash equivalents - beginning of period</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19,238,185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16,554,115</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Cash and cash equivalents, and restricted cash and cash equivalents – end of period</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6,063,916</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15,412,682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b w:val="1"/>
                <w:bCs w:val="1"/>
                <w:color w:val="auto"/>
              </w:rPr>
              <w:t>Cash paid during the period for: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725,885</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594,189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504,581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831,400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6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88"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Noncash transactions during the period for:</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20" w:type="dxa"/>
            <w:vAlign w:val="bottom"/>
          </w:tcPr>
          <w:p>
            <w:pPr>
              <w:ind w:left="360"/>
              <w:spacing w:after="0"/>
              <w:rPr>
                <w:sz w:val="20"/>
                <w:szCs w:val="20"/>
                <w:color w:val="auto"/>
              </w:rPr>
            </w:pPr>
            <w:r>
              <w:rPr>
                <w:rFonts w:ascii="Arial" w:cs="Arial" w:eastAsia="Arial" w:hAnsi="Arial"/>
                <w:sz w:val="18"/>
                <w:szCs w:val="18"/>
                <w:color w:val="auto"/>
              </w:rPr>
              <w:t>Loan and interest payable - related parties</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7"/>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103,890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72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Loan and interest receivable - related parties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(103,890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60"/>
              <w:spacing w:after="0"/>
              <w:rPr>
                <w:sz w:val="20"/>
                <w:szCs w:val="20"/>
                <w:color w:val="auto"/>
              </w:rPr>
            </w:pPr>
            <w:r>
              <w:rPr>
                <w:rFonts w:ascii="Arial" w:cs="Arial" w:eastAsia="Arial" w:hAnsi="Arial"/>
                <w:sz w:val="18"/>
                <w:szCs w:val="18"/>
                <w:color w:val="auto"/>
              </w:rPr>
              <w:t>Loan and interest from shareholder</w:t>
            </w:r>
          </w:p>
        </w:tc>
        <w:tc>
          <w:tcPr>
            <w:tcW w:w="2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94,934,400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Dividend distribution</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(94,934,400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60"/>
              <w:spacing w:after="0"/>
              <w:rPr>
                <w:sz w:val="20"/>
                <w:szCs w:val="20"/>
                <w:color w:val="auto"/>
              </w:rPr>
            </w:pPr>
            <w:r>
              <w:rPr>
                <w:rFonts w:ascii="Arial" w:cs="Arial" w:eastAsia="Arial" w:hAnsi="Arial"/>
                <w:sz w:val="18"/>
                <w:szCs w:val="18"/>
                <w:color w:val="auto"/>
              </w:rPr>
              <w:t>Deferred tax assets</w:t>
            </w:r>
          </w:p>
        </w:tc>
        <w:tc>
          <w:tcPr>
            <w:tcW w:w="2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(241,229</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Prepaid income taxes</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241,229</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360"/>
              <w:spacing w:after="0"/>
              <w:rPr>
                <w:sz w:val="20"/>
                <w:szCs w:val="20"/>
                <w:color w:val="auto"/>
              </w:rPr>
            </w:pPr>
            <w:r>
              <w:rPr>
                <w:rFonts w:ascii="Arial" w:cs="Arial" w:eastAsia="Arial" w:hAnsi="Arial"/>
                <w:sz w:val="18"/>
                <w:szCs w:val="18"/>
                <w:color w:val="auto"/>
              </w:rPr>
              <w:t>Change in deferred revenues due to gain contingency</w:t>
            </w:r>
          </w:p>
        </w:tc>
        <w:tc>
          <w:tcPr>
            <w:tcW w:w="2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1,209,430</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Change in other receivables due to gain contingency</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(1,209,430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Noncash finance activity during the period for:</w:t>
            </w: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warrants in connection with the equity line of credit</w:t>
            </w:r>
          </w:p>
        </w:tc>
        <w:tc>
          <w:tcPr>
            <w:tcW w:w="8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(105,411)</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w w:val="94"/>
              </w:rPr>
              <w:t>Gain on paycheck protection program and economic injury disaster loan forgiveness</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20" w:type="dxa"/>
            <w:vAlign w:val="bottom"/>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(174,436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PRESENTATION AND NATURE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Snail, Inc. was incorporated under the laws of Delaware in January 2022. The terms “Snail, Inc,” “Snail Games,” “our” and the “Company” are used to refer collectively to Snail, Inc. and its subsidiaries. The Company’s fiscal year end is December 31. The Registrant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 The Company is a global developer and publisher of interactive entertainment content and support on video game consoles, personal computers, mobile devices, and other platforms.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13, 2022, Suzhou Snail transferred all of its right, title, and interest to all of the 500,000 shares of common stock of the Company (“Shares”) to Snail Technology (HK) Limited (“Snail Technology”), an entity organized under the laws of Hong Kong, pursuant to the certain Share Transfer Agreement dated July 13, 2022 between Suzhou Snail and Snail Technology. Subsequently, Snail Technology transferred all of its right, title, and interest in the shares to certain individuals per the Share Transfer Agreement. In connection with the reorganization transaction described below the individuals contributed their interest in the Company to Snail, Inc. in return for common stock of Snail, Inc. in connection with Snail, Inc.’s IPO. Because the Company and Suzhou Snail are owned by the same shareholders, Suzhou Snail is considered a related party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 and IPO</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16, 2022, Snail, Inc., filed a Registration Statement on Form S-1 with the United States Securities and Exchange Commission in connection with its IPO. On November 9, 2022, effective as of the IPO pricing, Snail Games USA Inc.’s existing shareholders transferred their 500,000 shares of common stock of Snail Games USA Inc. to Snail, Inc. in exchange for 6,251,420 shares of Class A common stock and 28,748,580 shares of Class B common stock of Snail, Inc., and Snail, Inc. became the parent of Snail Games USA Inc. Because the reorganization transaction was considered a transaction between entities under common control, the financial statements for periods prior to the reorganization transaction and the IPO have been adjusted to combine the previously separate entities for presentation purposes. On November 9, 2022, Snail, Inc. priced its IPO, and on November 10, 2022, Snail, Inc.’s Class A common stock began trading on The Nasdaq Capital Market under the ticker symbol SNAL. In the IPO, Snail, Inc. issued 3,000,000 shares of Class A common stock at $5.00 per share and net proceeds from the IPO were distributed to Snail Games USA Inc. in November 2022 in the amount of approximately $12.0 million, net of the underwriting discount and offering costs of $3.0 million. In connection with the IPO, $1.0 million of the IPO proceeds were remitted to an escrow account which is held to provide a source of funding for certain indemnification obligations of Snail, Inc. to the underwriters. The amount in escrow is reported as a restricted escrow deposit in the consolidated balance sheets for 12 months from the date of the offering, at which time the restrictions will be removed and the balance will be reverted to unrestricted cash.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2022 included in the Company’s Annual Report on Form 10-K for the fiscal year ended December 31, 2022, filed on March 29, 2023. The condensed consolidated results of operations for any interim period are not necessarily indicative of the results to be expected for the full year or for any other future annual or interim period.</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comparative amounts have been reclassified to conform with the current period presentation. The common stock of Snail Games USA Inc., as of September 30, 2022, has been reclassified as Class A common stock as the stockholders of the Snail Games USA Inc. common stock had their shares converted to Class A shares of Snail Inc. during the reorganization transaction that occurred amongst a common controlled group. For more information regarding the reorganization transaction see Note 20 -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nine months ended September 30, 2023, certain comparative amounts have been reclassified due to immaterial errors identified by the Company in its presentation of certain server hosting costs. During the three months ended June 30, 2023, the Company began reporting all of its server hosting costs as costs of revenue whereas they were previously reported within both cost of sales and general and administrative expenses. The Company has assessed the materiality of these errors on its prior annual and interim financial statements, assessing materiality both quantitatively and qualitatively, in accordance with the SEC’s Staff Accounting Bulletin (“SAB”) No. 99 and SAB No. 108 and concluded that the errors were not material to those consolidated financial statements. However, to correctly present cost of revenues, gross profit and general and administrative expenses, the reclassifications have been made throughout this report and accompanying note disclosures. The effects on the related captions in the condensed consolidated statements of operations and comprehensive income (loss) for all previously reported periods were as follows:</w:t>
      </w:r>
    </w:p>
    <w:p>
      <w:pPr>
        <w:spacing w:after="0" w:line="165"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6"/>
              </w:rPr>
              <w:t>As reported</w:t>
            </w: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3"/>
              </w:rPr>
              <w:t>Adjustment</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5"/>
              </w:rPr>
              <w:t>As adjusted</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11,468,961</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12,424,067</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4,145,210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(955,106)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3,190,104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4,478,907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18"/>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7"/>
          </w:tcPr>
          <w:p>
            <w:pPr>
              <w:jc w:val="center"/>
              <w:ind w:left="890"/>
              <w:spacing w:after="0"/>
              <w:rPr>
                <w:sz w:val="20"/>
                <w:szCs w:val="20"/>
                <w:color w:val="auto"/>
              </w:rPr>
            </w:pPr>
            <w:r>
              <w:rPr>
                <w:rFonts w:ascii="Arial" w:cs="Arial" w:eastAsia="Arial" w:hAnsi="Arial"/>
                <w:sz w:val="18"/>
                <w:szCs w:val="18"/>
                <w:color w:val="auto"/>
                <w:w w:val="89"/>
              </w:rPr>
              <w:t>For the nine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6"/>
              </w:rPr>
              <w:t>As reported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Adjustment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5"/>
              </w:rPr>
              <w:t>As adjusted</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37,744,863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2,652,533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40,397,396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21,387,421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(2,652,533)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18,734,888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16,177,534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(2,652,533)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13,525,001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18"/>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7"/>
          </w:tcPr>
          <w:p>
            <w:pPr>
              <w:jc w:val="center"/>
              <w:ind w:left="890"/>
              <w:spacing w:after="0"/>
              <w:rPr>
                <w:sz w:val="20"/>
                <w:szCs w:val="20"/>
                <w:color w:val="auto"/>
              </w:rPr>
            </w:pPr>
            <w:r>
              <w:rPr>
                <w:rFonts w:ascii="Arial" w:cs="Arial" w:eastAsia="Arial" w:hAnsi="Arial"/>
                <w:sz w:val="18"/>
                <w:szCs w:val="18"/>
                <w:color w:val="auto"/>
                <w:w w:val="89"/>
              </w:rPr>
              <w:t>For the twelve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December 31, 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6"/>
              </w:rPr>
              <w:t>As reported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Adjustment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5"/>
              </w:rPr>
              <w:t>As adjusted</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49,507,888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53,121,676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24,936,253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(3,613,788)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21,322,465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22,327,746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(3,613,788)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18,713,958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18"/>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7"/>
          </w:tcPr>
          <w:p>
            <w:pPr>
              <w:jc w:val="center"/>
              <w:ind w:left="890"/>
              <w:spacing w:after="0"/>
              <w:rPr>
                <w:sz w:val="20"/>
                <w:szCs w:val="20"/>
                <w:color w:val="auto"/>
              </w:rPr>
            </w:pPr>
            <w:r>
              <w:rPr>
                <w:rFonts w:ascii="Arial" w:cs="Arial" w:eastAsia="Arial" w:hAnsi="Arial"/>
                <w:sz w:val="18"/>
                <w:szCs w:val="18"/>
                <w:color w:val="auto"/>
                <w:w w:val="88"/>
              </w:rPr>
              <w:t>For the three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March 31, 2023</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6"/>
              </w:rPr>
              <w:t>As reported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Adjustment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5"/>
              </w:rPr>
              <w:t>As adjusted</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9,816,397</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10,860,937</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3,642,091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(1,044,540)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2,597,551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4,525,751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w w:val="96"/>
              </w:rPr>
              <w:t>F-6</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3"/>
          </w:tcPr>
          <w:p>
            <w:pPr>
              <w:spacing w:after="0"/>
              <w:rPr>
                <w:sz w:val="20"/>
                <w:szCs w:val="20"/>
                <w:color w:val="auto"/>
              </w:rPr>
            </w:pPr>
            <w:r>
              <w:rPr>
                <w:rFonts w:ascii="Arial" w:cs="Arial" w:eastAsia="Arial" w:hAnsi="Arial"/>
                <w:sz w:val="18"/>
                <w:szCs w:val="18"/>
                <w:color w:val="auto"/>
                <w:w w:val="96"/>
              </w:rPr>
              <w:t>The condensed consolidated financial statements include the accounts of Snail, Inc. and the following subsidiaries:</w:t>
            </w:r>
          </w:p>
        </w:tc>
        <w:tc>
          <w:tcPr>
            <w:tcW w:w="18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9"/>
              </w:rPr>
              <w:t>Equity %</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8040" w:type="dxa"/>
            <w:vAlign w:val="bottom"/>
            <w:tcBorders>
              <w:bottom w:val="single" w:sz="8" w:color="auto"/>
            </w:tcBorders>
          </w:tcPr>
          <w:p>
            <w:pPr>
              <w:ind w:left="3360"/>
              <w:spacing w:after="0"/>
              <w:rPr>
                <w:sz w:val="20"/>
                <w:szCs w:val="20"/>
                <w:color w:val="auto"/>
              </w:rPr>
            </w:pPr>
            <w:r>
              <w:rPr>
                <w:rFonts w:ascii="Arial" w:cs="Arial" w:eastAsia="Arial" w:hAnsi="Arial"/>
                <w:sz w:val="18"/>
                <w:szCs w:val="18"/>
                <w:b w:val="1"/>
                <w:bCs w:val="1"/>
                <w:color w:val="auto"/>
              </w:rPr>
              <w:t>Subsidiary Name</w:t>
            </w:r>
          </w:p>
        </w:tc>
        <w:tc>
          <w:tcPr>
            <w:tcW w:w="1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Snail Games USA Inc.</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Snail Innovation Institute</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Frostkeep Studios, Inc.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Eminence Corp</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Wandering Wizard, LLC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Donkey Crew, LLC</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Interactive Films, LLC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Project AWK Productions, LLC</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BTBX.IO, LLC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transactions, and profits have been eliminated upon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the Company to make estimates and assumptions that affect the amounts reported in our condensed consolidated financial statements and the accompanying notes. Such estimates include revenue recognition, provisions for credit losses, deferred income tax assets and associated valuation allowances, deferred revenue, income taxes, valuation of intangibles, including those with related parties, impairment of intangible assets,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a net loss of $11.5 million and negative cash flows of $13.2 million for the nine months ended September 30, 2023. As of September 30, 2023, the Company had cash and cash equivalents of $4.9 million, restricted cash and cash equivalents of $1.1 million and current debt of $13.7 million.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30, 2023, the Company’s 2021 Revolving Loan (as defined below) and 2022 Short Term Note (as defined below) of $6.0 million and $2.1 million are due in December 2023 and January 2024, respectively. Management intends to renegotiate with the lender to extend the maturity date of the 2021 Revolving Loan. However, there is no guarantee that management will be able to renegotiate the terms of the 2021 Revolving Loan with its lender on terms acceptable to the Company or at all. Additionally, management plans to repay the outstanding amounts under the 2022 Short Term Note pursuant to the terms of the 2022 Short Term Note agreement and to secure an additional debt arrangement. Currently, management expects that the Company will not be in compliance with its quarterly debt covenant for the three months ending December 31, 2023. Management is working with the lender to resolve the expected non-compliance with the debt covenant.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need to raise additional capital. The need for additional capital depends on many factors, including, among other things, whether the Company can successfully renegotiate the terms of its debt arrangements, the rate at which the Company’s business grows, demands for working capital, revenue generated from existing DLCs and game titles and launches of new DLCs and new game titles, and any acquisitions that the Company may pursue. From time to time, the Company could be required, or may otherwise attempt, to seek additional sources of capital, including, but not limited to, equity and/or debt financings. The Company cannot provide assurance that it will be able to successfully access any such equity or debt financings or that the required equity or debt financings would be available on terms acceptable to the Company, if at all, or that any such financings would not be dilutive to its stockholders.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recent net loss, level of cash used in operations, debt obligations coming due in less than 12 months, potential need for additional capital, and the uncertainties surrounding its ability to raise additional capital and renegotiate its debt arrangements raise substantial doubt about its ability to continue as a going concern. The unaudited condensed consolidated financial statements do not include any adjustments that might be necessary if the Company is unable to continue as a going concern.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for the Company to continue operations beyond the next 12 months and be able to discharge its liabilities and commitments in the normal course of business, the Company must re-establish profitable operations in order to generate cash from operations by increasing revenue or controlling or potentially reducing expenses, renegotiate the terms of its debt arrangements, or obtain additional funds when needed.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revenue includes the publishing of software games delivered digitally and through physical discs (e.g., packaged goods). The Company’s digital games may include additional downloadable content that are new feature releases to digital full-game downloads. Revenue also includes sales of mobile in-app purchases that require the Company’s hosting support in order to utilize the game or related content. Such games include virtual goods that can be purchased by the end users, as desired. When control of the promised products and services is transferred to the customers, the Company recognizes revenue in the amount that reflects the consideration it expects to receive in exchange for these products and services. Revenue from delivery of products is recognized at a point in time when the end consumers download the games and the control of the license is transferred to them.</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revenue using the following five steps as provided by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1) identify the contract(s) with the customer; 2) identify the performance obligations in each contract; 3)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4) allocate the transaction price to the performance obligations; and 5) recognize revenue when, or as, the entity satisfies a performance obligation. The Company’s terms and conditions vary by customers and typically provide net 30 to 75 days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vs. Agent Consideration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7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deferred revenue when cash payments are received or due in advance of its performance, even if amounts are refundable.</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revenue is comprised of the transaction price allocable to the Company’s performance obligation on technical support and the sale of virtual goods available for in-app purchases, and payments received from customers prior to launching the games on the platforms. The Company categorizes the virtual goods as either “consumable” or “durable.” Consumable virtual goods represent goods that can be consumed by a specific player action; accordingly, the Company recognizes revenues from the sale of consumable virtual goods as the goods are consumed and the performance obligation is satisfied. Durable virtual goods represent goods that are accessible to the players over an extended period of time; accordingly, the Company recognizes revenues from the sale of durable virtual goods ratably over the period of time the goods are available to the player and the performance obligation is satisfied, which is generally the estimated service period, 30 to 100 days from date of activation.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has a long-term title license agreement with a platform. The agreement was initially made between the parties in November 2018 and valid through December 31, 2021. The agreement was subsequently amended in June 2020 to extend the </w:t>
      </w:r>
      <w:r>
        <w:rPr>
          <w:rFonts w:ascii="Arial" w:cs="Arial" w:eastAsia="Arial" w:hAnsi="Arial"/>
          <w:sz w:val="18"/>
          <w:szCs w:val="18"/>
          <w:i w:val="1"/>
          <w:iCs w:val="1"/>
          <w:color w:val="auto"/>
        </w:rPr>
        <w:t>ARK 1</w:t>
      </w:r>
      <w:r>
        <w:rPr>
          <w:rFonts w:ascii="Arial" w:cs="Arial" w:eastAsia="Arial" w:hAnsi="Arial"/>
          <w:sz w:val="18"/>
          <w:szCs w:val="18"/>
          <w:color w:val="auto"/>
        </w:rPr>
        <w:t xml:space="preserve"> availability on the platform perpetually, effective January 1, 2022 and to put </w:t>
      </w:r>
      <w:r>
        <w:rPr>
          <w:rFonts w:ascii="Arial" w:cs="Arial" w:eastAsia="Arial" w:hAnsi="Arial"/>
          <w:sz w:val="18"/>
          <w:szCs w:val="18"/>
          <w:i w:val="1"/>
          <w:iCs w:val="1"/>
          <w:color w:val="auto"/>
        </w:rPr>
        <w:t>ARK 2</w:t>
      </w:r>
      <w:r>
        <w:rPr>
          <w:rFonts w:ascii="Arial" w:cs="Arial" w:eastAsia="Arial" w:hAnsi="Arial"/>
          <w:sz w:val="18"/>
          <w:szCs w:val="18"/>
          <w:color w:val="auto"/>
        </w:rPr>
        <w:t xml:space="preserve"> on the platform for three years upon release. The Company recognized $2.5 million in revenue related to </w:t>
      </w:r>
      <w:r>
        <w:rPr>
          <w:rFonts w:ascii="Arial" w:cs="Arial" w:eastAsia="Arial" w:hAnsi="Arial"/>
          <w:sz w:val="18"/>
          <w:szCs w:val="18"/>
          <w:i w:val="1"/>
          <w:iCs w:val="1"/>
          <w:color w:val="auto"/>
        </w:rPr>
        <w:t>ARK 1’s</w:t>
      </w:r>
      <w:r>
        <w:rPr>
          <w:rFonts w:ascii="Arial" w:cs="Arial" w:eastAsia="Arial" w:hAnsi="Arial"/>
          <w:sz w:val="18"/>
          <w:szCs w:val="18"/>
          <w:color w:val="auto"/>
        </w:rPr>
        <w:t xml:space="preserve"> perpetual license during the nine months ended September 30, 2022 and deferred $2.3 million related to </w:t>
      </w:r>
      <w:r>
        <w:rPr>
          <w:rFonts w:ascii="Arial" w:cs="Arial" w:eastAsia="Arial" w:hAnsi="Arial"/>
          <w:sz w:val="18"/>
          <w:szCs w:val="18"/>
          <w:i w:val="1"/>
          <w:iCs w:val="1"/>
          <w:color w:val="auto"/>
        </w:rPr>
        <w:t>ARK 2</w:t>
      </w:r>
      <w:r>
        <w:rPr>
          <w:rFonts w:ascii="Arial" w:cs="Arial" w:eastAsia="Arial" w:hAnsi="Arial"/>
          <w:sz w:val="18"/>
          <w:szCs w:val="18"/>
          <w:color w:val="auto"/>
        </w:rPr>
        <w:t xml:space="preserve"> that is included in the long-term portion of deferred revenue.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November 2021, the Company entered an agreement with a platform to make </w:t>
      </w:r>
      <w:r>
        <w:rPr>
          <w:rFonts w:ascii="Arial" w:cs="Arial" w:eastAsia="Arial" w:hAnsi="Arial"/>
          <w:sz w:val="18"/>
          <w:szCs w:val="18"/>
          <w:i w:val="1"/>
          <w:iCs w:val="1"/>
          <w:color w:val="auto"/>
        </w:rPr>
        <w:t>ARK 1</w:t>
      </w:r>
      <w:r>
        <w:rPr>
          <w:rFonts w:ascii="Arial" w:cs="Arial" w:eastAsia="Arial" w:hAnsi="Arial"/>
          <w:sz w:val="18"/>
          <w:szCs w:val="18"/>
          <w:color w:val="auto"/>
        </w:rPr>
        <w:t xml:space="preserve"> available on a platform for a period of 5 weeks in exchange for $3.5 million. The platform launched the 5-week program on March 1, 2022 and the Company recognized the full amount of revenue from this contract during the nine months ended September 30, 2022.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entered into a non-exclusive license agreement with a platform in February 2020 to make </w:t>
      </w:r>
      <w:r>
        <w:rPr>
          <w:rFonts w:ascii="Arial" w:cs="Arial" w:eastAsia="Arial" w:hAnsi="Arial"/>
          <w:sz w:val="18"/>
          <w:szCs w:val="18"/>
          <w:i w:val="1"/>
          <w:iCs w:val="1"/>
          <w:color w:val="auto"/>
        </w:rPr>
        <w:t>ARK 1</w:t>
      </w:r>
      <w:r>
        <w:rPr>
          <w:rFonts w:ascii="Arial" w:cs="Arial" w:eastAsia="Arial" w:hAnsi="Arial"/>
          <w:sz w:val="18"/>
          <w:szCs w:val="18"/>
          <w:color w:val="auto"/>
        </w:rPr>
        <w:t xml:space="preserve"> available on the platform, exclusive of all available DLC, for a period of 2 weeks in exchange for $8.0 million. During the 2 weeks the platform offered digital rights to </w:t>
      </w:r>
      <w:r>
        <w:rPr>
          <w:rFonts w:ascii="Arial" w:cs="Arial" w:eastAsia="Arial" w:hAnsi="Arial"/>
          <w:sz w:val="18"/>
          <w:szCs w:val="18"/>
          <w:i w:val="1"/>
          <w:iCs w:val="1"/>
          <w:color w:val="auto"/>
        </w:rPr>
        <w:t>ARK 1</w:t>
      </w:r>
      <w:r>
        <w:rPr>
          <w:rFonts w:ascii="Arial" w:cs="Arial" w:eastAsia="Arial" w:hAnsi="Arial"/>
          <w:sz w:val="18"/>
          <w:szCs w:val="18"/>
          <w:color w:val="auto"/>
        </w:rPr>
        <w:t xml:space="preserve"> to its end users for free. The platform launched the first free week in June of 2020 and the Company recognized $4.0 million of the advanced payment as revenue during the year ended December 31, 2020. In September 2022, the platform launched the second free week and the Company recognized the remaining $4.0 million of revenue during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July 2023, the Company entered into a distribution agreement with its retail distribution partner for the distribution of </w:t>
      </w:r>
      <w:r>
        <w:rPr>
          <w:rFonts w:ascii="Arial" w:cs="Arial" w:eastAsia="Arial" w:hAnsi="Arial"/>
          <w:sz w:val="16"/>
          <w:szCs w:val="16"/>
          <w:i w:val="1"/>
          <w:iCs w:val="1"/>
          <w:color w:val="auto"/>
        </w:rPr>
        <w:t>ARK: Survival Ascended</w:t>
      </w:r>
      <w:r>
        <w:rPr>
          <w:rFonts w:ascii="Arial" w:cs="Arial" w:eastAsia="Arial" w:hAnsi="Arial"/>
          <w:sz w:val="16"/>
          <w:szCs w:val="16"/>
          <w:color w:val="auto"/>
        </w:rPr>
        <w:t xml:space="preserve"> and </w:t>
      </w:r>
      <w:r>
        <w:rPr>
          <w:rFonts w:ascii="Arial" w:cs="Arial" w:eastAsia="Arial" w:hAnsi="Arial"/>
          <w:sz w:val="16"/>
          <w:szCs w:val="16"/>
          <w:i w:val="1"/>
          <w:iCs w:val="1"/>
          <w:color w:val="auto"/>
        </w:rPr>
        <w:t>ARK</w:t>
      </w:r>
    </w:p>
    <w:p>
      <w:pPr>
        <w:spacing w:after="0" w:line="46" w:lineRule="exact"/>
        <w:rPr>
          <w:sz w:val="20"/>
          <w:szCs w:val="20"/>
          <w:color w:val="auto"/>
        </w:rPr>
      </w:pPr>
    </w:p>
    <w:p>
      <w:pPr>
        <w:jc w:val="both"/>
        <w:ind w:firstLine="8"/>
        <w:spacing w:after="0" w:line="255" w:lineRule="auto"/>
        <w:tabs>
          <w:tab w:leader="none" w:pos="223"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 xml:space="preserve">The initial term is two years and will renew each subsequent year unless it is cancelled. Upon executing the distribution agreement, the Company received $0.5 million and $1.3 million as prepaid royalties that are reported as current and long-term deferred revenue until the release of </w:t>
      </w:r>
      <w:r>
        <w:rPr>
          <w:rFonts w:ascii="Arial" w:cs="Arial" w:eastAsia="Arial" w:hAnsi="Arial"/>
          <w:sz w:val="18"/>
          <w:szCs w:val="18"/>
          <w:i w:val="1"/>
          <w:iCs w:val="1"/>
          <w:color w:val="auto"/>
        </w:rPr>
        <w:t>ARK: Survival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Ascended </w:t>
      </w:r>
      <w:r>
        <w:rPr>
          <w:rFonts w:ascii="Arial" w:cs="Arial" w:eastAsia="Arial" w:hAnsi="Arial"/>
          <w:sz w:val="18"/>
          <w:szCs w:val="18"/>
          <w:color w:val="auto"/>
        </w:rPr>
        <w:t>and</w:t>
      </w:r>
      <w:r>
        <w:rPr>
          <w:rFonts w:ascii="Arial" w:cs="Arial" w:eastAsia="Arial" w:hAnsi="Arial"/>
          <w:sz w:val="18"/>
          <w:szCs w:val="18"/>
          <w:i w:val="1"/>
          <w:iCs w:val="1"/>
          <w:color w:val="auto"/>
        </w:rPr>
        <w:t xml:space="preserve"> ARK II, </w:t>
      </w:r>
      <w:r>
        <w:rPr>
          <w:rFonts w:ascii="Arial" w:cs="Arial" w:eastAsia="Arial" w:hAnsi="Arial"/>
          <w:sz w:val="18"/>
          <w:szCs w:val="18"/>
          <w:color w:val="auto"/>
        </w:rPr>
        <w:t>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Service Period</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certain performance obligations satisfied over time, the Company has determined that the estimated service period is the time period in which an average user plays our software products (“user life”) which most faithfully depicts the timing of satisfying our performance obligation.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Handling and Value Added Taxes (“VAT”)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revenues include software license royalty fees, merchant fees, server and database center costs, game localization costs, game licenses, engine fees and amortization costs. Cost of revenues for the three and nine months ended September 30, 2023 and 2022 were comprised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7"/>
          </w:tcPr>
          <w:p>
            <w:pPr>
              <w:ind w:lef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license royalties – related parties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2,108,764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3,428,231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6,878,563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13,314,258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Arial" w:cs="Arial" w:eastAsia="Arial" w:hAnsi="Arial"/>
                <w:sz w:val="18"/>
                <w:szCs w:val="18"/>
                <w:color w:val="auto"/>
              </w:rPr>
              <w:t>Software license royalties</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372,666</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47,020</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979,505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47,020</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License and amortization – related parties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4,695,652</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6,350,979</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14,753,623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19,052,938</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Arial" w:cs="Arial" w:eastAsia="Arial" w:hAnsi="Arial"/>
                <w:sz w:val="18"/>
                <w:szCs w:val="18"/>
                <w:color w:val="auto"/>
              </w:rPr>
              <w:t>License and amortization</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250,672</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Game localization</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840</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Arial" w:cs="Arial" w:eastAsia="Arial" w:hAnsi="Arial"/>
                <w:sz w:val="18"/>
                <w:szCs w:val="18"/>
                <w:color w:val="auto"/>
              </w:rPr>
              <w:t>Merchant fees</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215,635</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602,814</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1,023,911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1,856,371</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Engine fees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292,127</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359,263</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1,009,252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1,575,942</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Arial" w:cs="Arial" w:eastAsia="Arial" w:hAnsi="Arial"/>
                <w:sz w:val="18"/>
                <w:szCs w:val="18"/>
                <w:color w:val="auto"/>
              </w:rPr>
              <w:t>Internet, server and data center</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1,777,894</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1,490,505</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4,929,631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4,155,164</w:t>
            </w:r>
          </w:p>
        </w:tc>
        <w:tc>
          <w:tcPr>
            <w:tcW w:w="80" w:type="dxa"/>
            <w:vAlign w:val="bottom"/>
          </w:tcPr>
          <w:p>
            <w:pPr>
              <w:spacing w:after="0"/>
              <w:rPr>
                <w:sz w:val="18"/>
                <w:szCs w:val="18"/>
                <w:color w:val="auto"/>
              </w:rPr>
            </w:pPr>
          </w:p>
        </w:tc>
      </w:tr>
      <w:tr>
        <w:trPr>
          <w:trHeight w:val="25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related to advertising revenue</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144,191</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84,700</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144,191</w:t>
            </w:r>
          </w:p>
        </w:tc>
        <w:tc>
          <w:tcPr>
            <w:tcW w:w="80" w:type="dxa"/>
            <w:vAlign w:val="bottom"/>
            <w:shd w:val="clear" w:color="auto" w:fill="CCEEFF"/>
          </w:tcPr>
          <w:p>
            <w:pPr>
              <w:spacing w:after="0"/>
              <w:rPr>
                <w:sz w:val="21"/>
                <w:szCs w:val="21"/>
                <w:color w:val="auto"/>
              </w:rPr>
            </w:pPr>
          </w:p>
        </w:tc>
      </w:tr>
      <w:tr>
        <w:trPr>
          <w:trHeight w:val="217"/>
        </w:trPr>
        <w:tc>
          <w:tcPr>
            <w:tcW w:w="42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9,463,086</w:t>
            </w:r>
          </w:p>
        </w:tc>
        <w:tc>
          <w:tcPr>
            <w:tcW w:w="3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12,424,067</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29,659,788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40,397,396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costs include rent, salaries, stock-based compensation, legal and professional expenses, internet and server, contractor costs, insurance expense, licenses and permits, other taxes and travel expenses. These costs are expensed as they are incurred. For the three months ended September 30, 2023 and 2022, general and administrative expenses totaled $3,452,141 and $4,478,907, respectively. For the nine months ended September 30, 2023 and 2022, general and administrative expenses were $11,915,126 and $13,525,001, respectively. Stock-based compensation of $220,231 and $589,532 was incurred during the three and nine months ended September 30, 2023, respectively; no such compensation was incurred in the three and nine months ended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advertising and marketing costs as incurred. For the three months ended September 30, 2023 and 2022, advertising and marketing expenses totaled $215,477 and $198,417, respectively. For the nine months ended September 30, 2023 and 2022, advertising and marketing expenses were $488,318 and $569,127,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costs include travel, payroll, and other general expenses specific to research and development activities. Research and development costs for the three months ended September 30, 2023 and 2022 were $1,317,400 and $116,624, respectively. For the nine months ended September 30, 2023 and 2022, research and development costs were $3,892,039 and $479,630, respectively. Stock-based compensation of $16,411 and $32,475 was incurred during the three and nine months ended September 30, 2023, respectively; no stock-based compensation was incurred in the three and nine months ended September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Non-controlling interests on the condensed consolidated balance sheets and condensed consolidated statements of operations and comprehensive income (loss) include the equity allocated to non-controlling interest holders. As of September 30, 2023 and December 31, 2022, there were non-controlling interests with the following subsidiaries: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 Name</w:t>
            </w:r>
          </w:p>
        </w:tc>
        <w:tc>
          <w:tcPr>
            <w:tcW w:w="30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Equity % Owned</w:t>
            </w:r>
          </w:p>
        </w:tc>
        <w:tc>
          <w:tcPr>
            <w:tcW w:w="3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Non-Controlling %</w:t>
            </w:r>
          </w:p>
        </w:tc>
        <w:tc>
          <w:tcPr>
            <w:tcW w:w="160" w:type="dxa"/>
            <w:vAlign w:val="bottom"/>
            <w:tcBorders>
              <w:bottom w:val="single" w:sz="8" w:color="CCEEFF"/>
            </w:tcBorders>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Snail Innovative Institute</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BTBX.IO, LLC</w:t>
            </w:r>
          </w:p>
        </w:tc>
        <w:tc>
          <w:tcPr>
            <w:tcW w:w="5540" w:type="dxa"/>
            <w:vAlign w:val="bottom"/>
            <w:gridSpan w:val="4"/>
          </w:tcPr>
          <w:p>
            <w:pPr>
              <w:jc w:val="right"/>
              <w:ind w:right="240"/>
              <w:spacing w:after="0"/>
              <w:rPr>
                <w:sz w:val="20"/>
                <w:szCs w:val="20"/>
                <w:color w:val="auto"/>
              </w:rPr>
            </w:pPr>
            <w:r>
              <w:rPr>
                <w:rFonts w:ascii="Arial" w:cs="Arial" w:eastAsia="Arial" w:hAnsi="Arial"/>
                <w:sz w:val="18"/>
                <w:szCs w:val="18"/>
                <w:color w:val="auto"/>
              </w:rPr>
              <w:t>70%</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Donkey Crew, LLC</w:t>
            </w:r>
          </w:p>
        </w:tc>
        <w:tc>
          <w:tcPr>
            <w:tcW w:w="55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439"/>
        </w:trPr>
        <w:tc>
          <w:tcPr>
            <w:tcW w:w="36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4"/>
          </w:tcPr>
          <w:p>
            <w:pPr>
              <w:jc w:val="right"/>
              <w:ind w:right="3380"/>
              <w:spacing w:after="0"/>
              <w:rPr>
                <w:sz w:val="20"/>
                <w:szCs w:val="20"/>
                <w:color w:val="auto"/>
              </w:rPr>
            </w:pPr>
            <w:r>
              <w:rPr>
                <w:rFonts w:ascii="Arial" w:cs="Arial" w:eastAsia="Arial" w:hAnsi="Arial"/>
                <w:sz w:val="18"/>
                <w:szCs w:val="18"/>
                <w:color w:val="auto"/>
              </w:rPr>
              <w:t>F-10</w:t>
            </w: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is available for use in current operations or other activities such as capital expenditures and business combinations. Restricted cash and cash equivalents are time deposits, that are currently provided as a standby letter of credit to landlords.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Escrow 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restricted deposits held in escrow are to provide a source of funding for certain indemnification obligations of Snail, Inc. to our underwriters in connection with our IPO. The deposit and related interest earnings are restricted for one year from the IPO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Financial Accounting Standards Board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describes the hierarchy of inputs used to measure fair value and the primary valuation methodologies used by the Company for financial instruments measured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inputs are as follows:</w:t>
      </w:r>
    </w:p>
    <w:p>
      <w:pPr>
        <w:spacing w:after="0" w:line="2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: Quoted prices in active markets for identical assets or liabilities that the Company has an ability to access as of the measurement date.</w:t>
      </w:r>
    </w:p>
    <w:p>
      <w:pPr>
        <w:spacing w:after="0" w:line="248"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: Inputs that are observable, either directly or indirectly,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for substantially the same term of the assets or liabilities.</w:t>
      </w:r>
    </w:p>
    <w:p>
      <w:pPr>
        <w:spacing w:after="0" w:line="175" w:lineRule="exact"/>
        <w:rPr>
          <w:rFonts w:ascii="Arial" w:cs="Arial" w:eastAsia="Arial" w:hAnsi="Arial"/>
          <w:sz w:val="18"/>
          <w:szCs w:val="18"/>
          <w:color w:val="auto"/>
        </w:rPr>
      </w:pPr>
    </w:p>
    <w:p>
      <w:pPr>
        <w:ind w:left="5460" w:right="80" w:hanging="5128"/>
        <w:spacing w:after="0" w:line="532" w:lineRule="auto"/>
        <w:tabs>
          <w:tab w:leader="none" w:pos="659"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that are supported by little or no market activity and that are significant to the fair value of the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derivative instruments, short-term loans, accounts receivable and accounts payable. The carrying values of these financial instruments approximate their fair value due to their short maturities. The carrying amount of our debt approximates fair value because the interest rates on these instruments approximate the interest rate on debt with similar terms available to us for a similar duration except for the Company’s promissory note which has a fixed rate for 5 years,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The Company’s warrant liability and derivative instruments are valued at fair value, using level 3 inputs and the Monte-Carlo pricing model. The Company does not have any other assets or liabilities measured at fair value on a recurring or non-recurring basis as of September 30, 2023 and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Intangibles and Other Long-lived Assets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long-lived assets and other assets consisting of property, plant and equipment and purchased intangible assets, are reviewed for impairment in accordance with the guidance of FASB Topic ASC 360, Property, Plant,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FASB Topic ASC 740, Income Taxes, which requires the recognition of deferred tax assets and liabilities for the expected future tax consequences of events that have been included in the condensed consolidated financial statements or tax returns.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condensed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current and long-term accrued expenses on the accompanying condensed consolidated balance sheets in the amount of $384,150 and $457,024 as of September 30, 2023 and December 31, 2022, respectively. The Company accrues and recognizes interest and penalties related to unrecognized tax benefits in operating expenses.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cash balances at several major financial institutions. While the Company attempts to limit credit exposure with any single institution, balances often exceed insurable amounts. As of September 30, 2023 and December 31, 2022, the Company had deposits of $5,089,118 and $17,929,308, respectively, that were not insured by the Federal Deposit Insurance Corporation and are included in the cash and cash equivalents, restricted escrow deposit and restricted cash and cash equivalents, in the accompanying condensed consolidated balance sheets.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extends credit to various digital resellers and partners. Collection of trade receivables may be affected by changes in economic or other industry conditions and may, accordingly, impact our overall credit risk. The Company performs ongoing credit evaluations of customers and maintains reserves for potentially uncollectible accounts. As of September 30, 2023 and December 31, 2022, the Company had two customers who accounted for approximately 57% and 57% of consolidated gross receivables, respectively. Among the two customers as of September 30, 2023 and December 31, 2022, each customer accounted for 35% and 22% as of September 30, 2023, and 29% and 28% as of December 31, 2022 of the consolidated gross receivables outstanding. During the three months ended September 30, 2023 and 2022, approximately 60% and 43%, respectively, of net revenue was derived from these customers. During the nine months ended September 30, 2023 and 2022, approximately 52% and 56%, respectively, of net revenue was derived from these customers. The loss of these customers or declines in the forecasts of their accounts receivable collectability would have a significant impact on the Company’s financial performance.</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2023 and December 31, 2022, the Company had three vendors who accounted for approximately 75% and two vendors who accounted for approximately 55% of consolidated gross payables, respectively. Among the three vendors as of September 30, 2023 and December 31, 2022, each vendor accounted for 51%, 13% and 11% as of September 30, 2023, and 43% and 12% as of December 31, 2022 of our consolidated gross payables outstanding. The loss of these vendors could have a significant impact on the Company’s financial performance and regulatory compliance.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one vendor, SDE Inc. (“SDE”), a related party, that accounted for 45% and 43% of the Company’s combined cost of revenues and operating expenses during the three months ended September 30, 2023 and 2022, respectively. During the nine months ended September 30, 2023 and 2022, SDE accounted for 49% and 47% of the Company’s combined cost of revenues and operating expenses, respectively. Amounts payable to SDE are netted with receivables from them and presented as accounts receivable - related party in the condensed consolidated balance sheets as of September 30, 2023 and December 31, 2022. The loss of SDE as a vendor would significantly and adversely affect the Company’s core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methodology in current US GAAP with a methodology that requires the reflection of expected credit losses and also requires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requires the use of a forward-looking expected loss model rather than the incurred loss model for recognizing credit losses, which generally results in the earlier recognition of credit losses on financial instruments. The Company adopted ASC 2016-13 on January 1, 2023. The impact of adopting the new standard did not have a material impact on the Company’s condensed consolidated financial statements.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Contracts in Entity’s Own Equity (Subtopic 815-40) – Accounting for Convertible Instruments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to simplify the application of GAAP for certain financial instruments with characteristics of liabilities and equity. The</w:t>
      </w:r>
      <w:r>
        <w:rPr>
          <w:rFonts w:ascii="Arial" w:cs="Arial" w:eastAsia="Arial" w:hAnsi="Arial"/>
          <w:sz w:val="17"/>
          <w:szCs w:val="17"/>
          <w:i w:val="1"/>
          <w:iCs w:val="1"/>
          <w:color w:val="auto"/>
        </w:rPr>
        <w:t xml:space="preserve"> </w:t>
      </w:r>
      <w:r>
        <w:rPr>
          <w:rFonts w:ascii="Arial" w:cs="Arial" w:eastAsia="Arial" w:hAnsi="Arial"/>
          <w:sz w:val="17"/>
          <w:szCs w:val="17"/>
          <w:color w:val="auto"/>
        </w:rPr>
        <w:t>FASB decided to eliminate certain accounting models to simplify the accounting for convertible instruments, reduce complexity for preparers and practitioners, and improve the decision usefulness and relevance of the information provided to financial statement users. The GASB also amended the guidance for derivatives scope exception for contracts in an entity’s own equity to reduce form-over-substance-based accounting conclusion and amended the related earnings per share guidance. The Company has elected to delay implementation of this standard until January 1, 2024 based on its emerging growth status. The impact of adopting the new accounting standard is being evaluated.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401(k) for its United States based employees. The plan is offered to all eligible employees to make voluntary contributions.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Employer contributions to the plan are reported under general and administrative costs in the amounts of $26,003 and $17,587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and $77,391 and $44,683 for the nine months ended September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issued restricted stock units (“Restricted Stock Units” or “restricted stock units”) during the year ended December 31, 2022. The fair value of Restricted Stock Units is determined based on the quoted market price of our common stock on the date of grant.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September 30, 2023, there were 4,523,237 shares reserved for issuance under the 2022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 For the nine months ended September 30, 2023 and 2022, stock-based compensations expenses amounted to $622,007 and $0, respectively. For the three months ended September 30, 2023 and 2022, stock-based compensation expenses amounts to $236,642 and $0,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IPO, offering costs related to legal, accounting, and underwriting costs were net with the proceeds and recorded as a reduction in additional paid in capital, in the stockholders’ equity section of the condensed consolidated balance sheets. The Company also issued Underwriters Warrants (as defined below) for services provided during the IPO to purchase 120,000 shares of Class A common stock. The Underwriters Warrants are accounted for as equity instruments and are included in the stockholders’ equity section of the condensed consolidated balance sheets. The fair value of the Underwriters Warrants has been estimated using the Black-Scholes option pricing model.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August 24, 2023, the Company issued warrants in connection with its convertible debt for the purchase of 714,285 shares (the “convertible note warrants”). The convertible note warrants are accounted for as a liability and are included in the accrued expenses and other liabilities in the condensed consolidated balance sheets. The fair value of the convertible note warrants has been estimated using the Monte-Carlo pricing model. For more information regarding convertible notes and related warrants see Note 20 -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August 24, 2023, the Company issued a warrant to an investor (the “equity line warrant”) for the purchase of 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 The fair value of the equity line warrants has been estimated using the Monte-Carlo pricing model. For more information regarding equity line and related warrants see Note 20 – </w:t>
      </w:r>
      <w:r>
        <w:rPr>
          <w:rFonts w:ascii="Arial" w:cs="Arial" w:eastAsia="Arial" w:hAnsi="Arial"/>
          <w:sz w:val="16"/>
          <w:szCs w:val="16"/>
          <w:i w:val="1"/>
          <w:iCs w:val="1"/>
          <w:color w:val="auto"/>
        </w:rPr>
        <w:t>Equity.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No treasury stock was sold during the three and nine months ended September 30, 2023. As of September 30,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Earnings (loss) per share (“EPS”) is calculated by dividing the net income (loss) that is applicable to the common stockholders for the period by the weighted average number of shares of common stock during that period. The diluted EPS for the period is calculated by dividing the net income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comparative purposes, the Company has presented EPS for the three and nine months ended September 30, 2022 using the number of shares exchanged in the reorganization of the Company as the denominator. For more information see Note 19 – </w:t>
      </w:r>
      <w:r>
        <w:rPr>
          <w:rFonts w:ascii="Arial" w:cs="Arial" w:eastAsia="Arial" w:hAnsi="Arial"/>
          <w:sz w:val="16"/>
          <w:szCs w:val="16"/>
          <w:i w:val="1"/>
          <w:iCs w:val="1"/>
          <w:color w:val="auto"/>
        </w:rPr>
        <w:t>Earnings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pay cash dividends is currently restricted by the terms of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net revenue to geographic regions based on customer location. Net revenue by geographic region for the three and nine months ended September 30, 2023 and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30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8,615,877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14,767,182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28,757,507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55,025,810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365,258</w:t>
            </w:r>
          </w:p>
        </w:tc>
        <w:tc>
          <w:tcPr>
            <w:tcW w:w="4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846,989</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3,574,369</w:t>
            </w: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4,106,474</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Total revenue from contracts with customers: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8,981,135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15,614,171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32,331,876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59,132,284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i w:val="1"/>
                <w:iCs w:val="1"/>
                <w:color w:val="auto"/>
              </w:rPr>
              <w:t>Platform</w:t>
            </w: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20" w:type="dxa"/>
            <w:vAlign w:val="bottom"/>
            <w:gridSpan w:val="8"/>
          </w:tcPr>
          <w:p>
            <w:pPr>
              <w:spacing w:after="0"/>
              <w:rPr>
                <w:sz w:val="20"/>
                <w:szCs w:val="20"/>
                <w:color w:val="auto"/>
              </w:rPr>
            </w:pPr>
            <w:r>
              <w:rPr>
                <w:rFonts w:ascii="Arial" w:cs="Arial" w:eastAsia="Arial" w:hAnsi="Arial"/>
                <w:sz w:val="18"/>
                <w:szCs w:val="18"/>
                <w:color w:val="auto"/>
                <w:w w:val="90"/>
              </w:rPr>
              <w:t>Net revenue by platform for the three and nine months ended September 30, 2023 and 2022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24"/>
                <w:szCs w:val="24"/>
                <w:color w:val="auto"/>
              </w:rPr>
            </w:pPr>
          </w:p>
        </w:tc>
        <w:tc>
          <w:tcPr>
            <w:tcW w:w="30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3,862,923</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3,750,029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13,262,988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PC</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3,717,627</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9,315,721</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12,097,176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22,943,193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Mobile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1,400,585</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2,161,624</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4,626,820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7,346,822</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386,797</w:t>
            </w:r>
          </w:p>
        </w:tc>
        <w:tc>
          <w:tcPr>
            <w:tcW w:w="3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2,344,892</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1,684,889</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Total revenue from contracts with customers: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8,981,135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15,614,171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32,331,876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59,132,284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products are delivered through digital online services (digital download, online platforms, and cloud streaming), mobile, and retail distribution and other. Net revenue by distribution channel for the three and nine months ended September 30, 2023 and 2022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Digital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7,580,550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13,065,750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25,360,164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50,100,573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Mobile</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1,400,585</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2,161,624</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4,626,820</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7,346,822</w:t>
            </w:r>
          </w:p>
        </w:tc>
      </w:tr>
      <w:tr>
        <w:trPr>
          <w:trHeight w:val="23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Physical retail and other</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386,797</w:t>
            </w: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2,344,892</w:t>
            </w: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1,684,889</w:t>
            </w:r>
          </w:p>
        </w:tc>
      </w:tr>
      <w:tr>
        <w:trPr>
          <w:trHeight w:val="203"/>
        </w:trPr>
        <w:tc>
          <w:tcPr>
            <w:tcW w:w="4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revenue from contracts with customers:</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8,981,135</w:t>
            </w:r>
          </w:p>
        </w:tc>
        <w:tc>
          <w:tcPr>
            <w:tcW w:w="34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15,614,171</w:t>
            </w: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32,331,876</w:t>
            </w:r>
          </w:p>
        </w:tc>
        <w:tc>
          <w:tcPr>
            <w:tcW w:w="32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59,132,284</w:t>
            </w:r>
          </w:p>
        </w:tc>
        <w:tc>
          <w:tcPr>
            <w:tcW w:w="100" w:type="dxa"/>
            <w:vAlign w:val="bottom"/>
            <w:tcBorders>
              <w:top w:val="single" w:sz="8" w:color="CCEEFF"/>
            </w:tcBorders>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F-15</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records deferred revenue when payments are due or received in advance of the fulfillment of our associated performance obligations; reductions to deferred revenue balance were primarily due to the recognition of revenue upon fulfillment of our performance obligations, which were in the ordinary course of business. As of September 30, 2023, the balance of deferred revenue was $11,528,759, of which $5.7 million is due to non-refundable payments. The Company is expecting to recognize $2.1 million of the $5.7 million in the next 12 months through the platform releases of certain DLCs and </w:t>
      </w:r>
      <w:r>
        <w:rPr>
          <w:rFonts w:ascii="Arial" w:cs="Arial" w:eastAsia="Arial" w:hAnsi="Arial"/>
          <w:sz w:val="16"/>
          <w:szCs w:val="16"/>
          <w:i w:val="1"/>
          <w:iCs w:val="1"/>
          <w:color w:val="auto"/>
        </w:rPr>
        <w:t xml:space="preserve">ARK: Survival Ascended, </w:t>
      </w:r>
      <w:r>
        <w:rPr>
          <w:rFonts w:ascii="Arial" w:cs="Arial" w:eastAsia="Arial" w:hAnsi="Arial"/>
          <w:sz w:val="16"/>
          <w:szCs w:val="16"/>
          <w:color w:val="auto"/>
        </w:rPr>
        <w:t>and the remaining $3.6 million in the next 24 months through the release of</w:t>
      </w:r>
      <w:r>
        <w:rPr>
          <w:rFonts w:ascii="Arial" w:cs="Arial" w:eastAsia="Arial" w:hAnsi="Arial"/>
          <w:sz w:val="16"/>
          <w:szCs w:val="16"/>
          <w:i w:val="1"/>
          <w:iCs w:val="1"/>
          <w:color w:val="auto"/>
        </w:rPr>
        <w:t xml:space="preserve"> ARK 2</w:t>
      </w:r>
      <w:r>
        <w:rPr>
          <w:rFonts w:ascii="Arial" w:cs="Arial" w:eastAsia="Arial" w:hAnsi="Arial"/>
          <w:sz w:val="16"/>
          <w:szCs w:val="16"/>
          <w:color w:val="auto"/>
        </w:rPr>
        <w:t>. The Company expects to recognize $5.8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current deferred revenues and $5.7 million of long term deferred revenue as revenue over the next 12 to 60 months. The revenue will be recognized primarily on a straight-line basis, based on our estimates of technical support obligations, the usage of consumable virtual goods and upon the activation of durable virtual goods. Activities in the Company’s deferred revenue as of September 30, 2023 and December 31, 2022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beginning balance in advance of revenue recognition billing</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9,551,446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20,280,934</w:t>
            </w:r>
          </w:p>
        </w:tc>
        <w:tc>
          <w:tcPr>
            <w:tcW w:w="100" w:type="dxa"/>
            <w:vAlign w:val="bottom"/>
            <w:gridSpan w:val="2"/>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Revenue recognized</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(5,223,331)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(18,832,396)</w:t>
            </w:r>
          </w:p>
        </w:tc>
      </w:tr>
      <w:tr>
        <w:trPr>
          <w:trHeight w:val="24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 deferred</w:t>
            </w:r>
          </w:p>
        </w:tc>
        <w:tc>
          <w:tcPr>
            <w:tcW w:w="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7,200,644</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8,102,908</w:t>
            </w:r>
          </w:p>
        </w:tc>
        <w:tc>
          <w:tcPr>
            <w:tcW w:w="80" w:type="dxa"/>
            <w:vAlign w:val="bottom"/>
            <w:shd w:val="clear" w:color="auto" w:fill="CCEEFF"/>
          </w:tcPr>
          <w:p>
            <w:pPr>
              <w:spacing w:after="0"/>
              <w:rPr>
                <w:sz w:val="21"/>
                <w:szCs w:val="21"/>
                <w:color w:val="auto"/>
              </w:rPr>
            </w:pPr>
          </w:p>
        </w:tc>
      </w:tr>
      <w:tr>
        <w:trPr>
          <w:trHeight w:val="203"/>
        </w:trPr>
        <w:tc>
          <w:tcPr>
            <w:tcW w:w="6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Deferred revenue, ending balance</w:t>
            </w:r>
          </w:p>
        </w:tc>
        <w:tc>
          <w:tcPr>
            <w:tcW w:w="6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11,528,759</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9,551,446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(5,848,320)</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(4,335,404)</w:t>
            </w:r>
          </w:p>
        </w:tc>
      </w:tr>
      <w:tr>
        <w:trPr>
          <w:trHeight w:val="217"/>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revenue, long term</w:t>
            </w:r>
          </w:p>
        </w:tc>
        <w:tc>
          <w:tcPr>
            <w:tcW w:w="64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5,680,439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5,216,042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RESTRICTED CASH AND CASH EQUIVALENTS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Cash equivalents are valued using quoted market prices or other readily available market information. The Company has restricted cash and cash equivalents of $1,115,084 and $6,374,368 as of September 30, 2023 and December 31, 2022, respectively. The amounts of restricted cash and cash equivalents held as of September 30, 2023, are to secure the standby letter of credit with landlords and the amounts of restricted cash and cash equivalents as of December 31, 2022, are held as security for the debt with a financial institution (see Note 15 — </w:t>
      </w:r>
      <w:r>
        <w:rPr>
          <w:rFonts w:ascii="Arial" w:cs="Arial" w:eastAsia="Arial" w:hAnsi="Arial"/>
          <w:sz w:val="17"/>
          <w:szCs w:val="17"/>
          <w:i w:val="1"/>
          <w:iCs w:val="1"/>
          <w:color w:val="auto"/>
        </w:rPr>
        <w:t>Revolving Loan, Short Term Note, and 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and to secure standby letters of credit with landlords. On June 21, 2023, the Company amended its revolving loan and $5,273,391 of 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equivalents was released. The following table summarizes the components of the Company’s cash and cash equivalents, and restricted cash and cash equivalents as of September 30, 2023 and September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4,948,832</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1,115,084</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6,368,016</w:t>
            </w:r>
          </w:p>
        </w:tc>
      </w:tr>
      <w:tr>
        <w:trPr>
          <w:trHeight w:val="23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and cash equivalents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6,063,916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15,412,682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 RELATED PARTY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 related party represents receivables in the ordinary course of business attributable to certain mobile game revenues that, for administrative reasons, are collected by a related party and that the related party has not remitted back to the Company. The accounts receivable is offset by payables due to the related party for royalties, internet data center (“IDC”) and marketing costs. Accounts receivable — related party is non-interest bearing and due on demand. The related party is 100% owned and controlled by the wife of the Founder, Chief Strategy Officer and Chairman of the Company. As of September 30, 2023 and December 31, 2022, the outstanding balance of net accounts receivable from related party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related party</w:t>
            </w: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13,578,520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13,519,409</w:t>
            </w:r>
          </w:p>
        </w:tc>
        <w:tc>
          <w:tcPr>
            <w:tcW w:w="100" w:type="dxa"/>
            <w:vAlign w:val="bottom"/>
            <w:shd w:val="clear" w:color="auto" w:fill="CCEEFF"/>
          </w:tcPr>
          <w:p>
            <w:pPr>
              <w:spacing w:after="0"/>
              <w:rPr>
                <w:sz w:val="18"/>
                <w:szCs w:val="18"/>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auto"/>
              </w:rPr>
              <w:t>Less: Accounts payable – related party</w:t>
            </w:r>
          </w:p>
        </w:tc>
        <w:tc>
          <w:tcPr>
            <w:tcW w:w="2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(1,979,291)</w:t>
            </w: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(2,175,225)</w:t>
            </w:r>
          </w:p>
        </w:tc>
      </w:tr>
      <w:tr>
        <w:trPr>
          <w:trHeight w:val="23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related party, net</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11,599,229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11,344,184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right"/>
              <w:ind w:right="1530"/>
              <w:spacing w:after="0"/>
              <w:rPr>
                <w:sz w:val="20"/>
                <w:szCs w:val="20"/>
                <w:color w:val="auto"/>
              </w:rPr>
            </w:pPr>
            <w:r>
              <w:rPr>
                <w:rFonts w:ascii="Arial" w:cs="Arial" w:eastAsia="Arial" w:hAnsi="Arial"/>
                <w:sz w:val="18"/>
                <w:szCs w:val="18"/>
                <w:color w:val="auto"/>
              </w:rPr>
              <w:t>F-16</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DUE FROM SHAREHOLDER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Other receivables from related party consisted of monies that the Company loaned to the Company’s Founder, Chief Strategy Officer and Chairman, who is also the majority shareholder of Suzhou Snail. The loan bore 2.0% per annum interest. On April 26, 2022, the Company, with approval from its Board of Directors and in accordance with applicable laws and regulations, assigned the other receivables – related party (the “Shi Loan”) of $94,934,400 outstanding including interest, to Suzhou Snail, which assumed the loan as creditor. Simultaneously, the Company declared and paid Suzhou Snail an in-kind dividend with an aggregate amount equal to $94,934,400 on April 26, 2022; see Note 7 – </w:t>
      </w:r>
      <w:r>
        <w:rPr>
          <w:rFonts w:ascii="Arial" w:cs="Arial" w:eastAsia="Arial" w:hAnsi="Arial"/>
          <w:sz w:val="17"/>
          <w:szCs w:val="17"/>
          <w:i w:val="1"/>
          <w:iCs w:val="1"/>
          <w:color w:val="auto"/>
        </w:rPr>
        <w:t>Dividend Distribution</w:t>
      </w:r>
      <w:r>
        <w:rPr>
          <w:rFonts w:ascii="Arial" w:cs="Arial" w:eastAsia="Arial" w:hAnsi="Arial"/>
          <w:sz w:val="17"/>
          <w:szCs w:val="17"/>
          <w:color w:val="auto"/>
        </w:rPr>
        <w:t>. As of December 31, 2022, the other receivable was $0 and no longer reflected on the Company’s consolidated balance sheets. The loan did not accrue interest during the three months ended September 30, 2023 and 2022, respectively. During the nine months ended September 30, 2023 and 2022, the loan accrued interest of $0 and $580,878, respectively. The earned interest is reported in interest income – related parties in the Company’s condensed consolidated statements of operations and comprehensive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DIVIDEND DISTRIBUTION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On April 26, 2022, the Company declared an in-kind dividend of $94,934,400 for the assignment of the Shi Loan and a cash dividend of $8,200,000 to pay the related withholding taxes; see Note 6 – </w:t>
      </w:r>
      <w:r>
        <w:rPr>
          <w:rFonts w:ascii="Arial" w:cs="Arial" w:eastAsia="Arial" w:hAnsi="Arial"/>
          <w:sz w:val="16"/>
          <w:szCs w:val="16"/>
          <w:i w:val="1"/>
          <w:iCs w:val="1"/>
          <w:color w:val="auto"/>
        </w:rPr>
        <w:t>Due from Shareholder.</w:t>
      </w:r>
      <w:r>
        <w:rPr>
          <w:rFonts w:ascii="Arial" w:cs="Arial" w:eastAsia="Arial" w:hAnsi="Arial"/>
          <w:sz w:val="16"/>
          <w:szCs w:val="16"/>
          <w:color w:val="auto"/>
        </w:rPr>
        <w:t xml:space="preserve"> There were no such distributions during the nine months ended September 30, 2023. In April 2023, the Company filed its annual withholding tax return Form 1042 and recognized a refund receivable related to the withholding taxes paid in the amount of $1,886,600. The refund was received in August 2023 and is reported in additional paid-in capital in the accompanying condensed consolidated balance sheets as of September 30, 2023 and the condensed consolidated statements of equity for the nine months ended September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 RELATED PARTY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March 10, 2023, the Company amended its exclusive software license agreement with SDE relating to the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For DLC’s, the Company plans to release during the term of the agreement, the Company will now have the option to pay the $5.0 million DLC payment in whole or in part, when paid in advance; or in full, upon the DLC release. No payment for any DLC under this agreement will exceed $5.0 million.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nine months ended September 30, 2023, the Company prepaid $2,500,000 for exclusive license rights for an </w:t>
      </w:r>
      <w:r>
        <w:rPr>
          <w:rFonts w:ascii="Arial" w:cs="Arial" w:eastAsia="Arial" w:hAnsi="Arial"/>
          <w:sz w:val="18"/>
          <w:szCs w:val="18"/>
          <w:i w:val="1"/>
          <w:iCs w:val="1"/>
          <w:color w:val="auto"/>
        </w:rPr>
        <w:t>ARK 1</w:t>
      </w:r>
      <w:r>
        <w:rPr>
          <w:rFonts w:ascii="Arial" w:cs="Arial" w:eastAsia="Arial" w:hAnsi="Arial"/>
          <w:sz w:val="18"/>
          <w:szCs w:val="18"/>
          <w:color w:val="auto"/>
        </w:rPr>
        <w:t xml:space="preserve"> DLC to SDE. During the year ended December 31, 2022, the Company prepaid $5,000,000 for exclusive license rights to </w:t>
      </w:r>
      <w:r>
        <w:rPr>
          <w:rFonts w:ascii="Arial" w:cs="Arial" w:eastAsia="Arial" w:hAnsi="Arial"/>
          <w:sz w:val="18"/>
          <w:szCs w:val="18"/>
          <w:i w:val="1"/>
          <w:iCs w:val="1"/>
          <w:color w:val="auto"/>
        </w:rPr>
        <w:t>ARK 2</w:t>
      </w:r>
      <w:r>
        <w:rPr>
          <w:rFonts w:ascii="Arial" w:cs="Arial" w:eastAsia="Arial" w:hAnsi="Arial"/>
          <w:sz w:val="18"/>
          <w:szCs w:val="18"/>
          <w:color w:val="auto"/>
        </w:rPr>
        <w:t xml:space="preserve"> to SDE. Prepaid expenses — related party consisted of the following as of September 30, 2023 and December 31, 2022:</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Prepaid licenses</w:t>
            </w: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7,500,000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 related party, ending balance</w:t>
            </w:r>
          </w:p>
        </w:tc>
        <w:tc>
          <w:tcPr>
            <w:tcW w:w="1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8,082,500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Less: short-term portion</w:t>
            </w: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(2,500,000)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 related party, long-term</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5,582,500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PREPAID EXPENSES AND OTHER CURRENT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receivables consist of litigation receivables, which were received in October 2023. Prepaid expenses and other current assets consisted of the following as of September 30, 2023, and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9,655,160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9,822,603</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receivable</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105,411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prepaids</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106,236</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80,271</w:t>
            </w: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115,496</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662,267</w:t>
            </w:r>
          </w:p>
        </w:tc>
      </w:tr>
      <w:tr>
        <w:trPr>
          <w:trHeight w:val="216"/>
        </w:trPr>
        <w:tc>
          <w:tcPr>
            <w:tcW w:w="4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25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11,482,303</w:t>
            </w: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10,565,141</w:t>
            </w:r>
          </w:p>
        </w:tc>
        <w:tc>
          <w:tcPr>
            <w:tcW w:w="100" w:type="dxa"/>
            <w:vAlign w:val="bottom"/>
            <w:tcBorders>
              <w:top w:val="single" w:sz="8" w:color="CCEEFF"/>
            </w:tcBorders>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1530"/>
              <w:spacing w:after="0"/>
              <w:rPr>
                <w:sz w:val="20"/>
                <w:szCs w:val="20"/>
                <w:color w:val="auto"/>
              </w:rPr>
            </w:pPr>
            <w:r>
              <w:rPr>
                <w:rFonts w:ascii="Arial" w:cs="Arial" w:eastAsia="Arial" w:hAnsi="Arial"/>
                <w:sz w:val="18"/>
                <w:szCs w:val="18"/>
                <w:color w:val="auto"/>
              </w:rPr>
              <w:t>F-17</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as of September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Land</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2,700,000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1,010,218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1,010,218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1,537,775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1,537,775</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Autos and trucks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178,695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178,695</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Computer and equipment</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1,821,819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1,821,819</w:t>
            </w:r>
          </w:p>
        </w:tc>
        <w:tc>
          <w:tcPr>
            <w:tcW w:w="8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411,801</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411,801</w:t>
            </w:r>
          </w:p>
        </w:tc>
      </w:tr>
      <w:tr>
        <w:trPr>
          <w:trHeight w:val="203"/>
        </w:trPr>
        <w:tc>
          <w:tcPr>
            <w:tcW w:w="69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9,534,357</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9,534,357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(4,765,642)</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(4,419,558)</w:t>
            </w:r>
          </w:p>
        </w:tc>
      </w:tr>
      <w:tr>
        <w:trPr>
          <w:trHeight w:val="216"/>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4,768,715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5,114,799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Depreciation and amortization expense was $112,914 and $128,536 for the three months ended September 30, 2023 and 2022, respectively. Depreciation and amortization expense was $346,084 and $435,644 for the nine months ended September 30, 2023 and 2022, respectively. The Company did not have any disposals during the nine months ended September 30, 2023. During the nine months ended September 30, 2022, the Company disposed of $11,615 in computer equipment with an accumulated depreciation of $9,182; and sold a vehicle for $19,500 that was purchased for $88,398 and fully depreciated at the time of sale. The total gain resulting from the disposal of the assets amounted to $17,067. The Company’s subsidiary, Donkey Crew, LLC, held net property, plant and equipment outside of the United States in the amount of $5,166 and $13,569, as of September 30, 2023 and December 31, 2022,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consist of game licenses, game software underlying intellectual property rights, game trademarks and other branding items. The Company amortizes the intangible assets over its useful life.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all the intangible assets presented on the condensed consolidated balance sheets as of September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130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Net Book</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b w:val="1"/>
                <w:bCs w:val="1"/>
                <w:color w:val="auto"/>
              </w:rPr>
              <w:t>Loss</w:t>
            </w:r>
          </w:p>
        </w:tc>
        <w:tc>
          <w:tcPr>
            <w:tcW w:w="1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Useful Life</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rights from related parties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136,665,000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(136,534,565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License rights</w:t>
            </w:r>
          </w:p>
        </w:tc>
        <w:tc>
          <w:tcPr>
            <w:tcW w:w="5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line="20" w:lineRule="exact"/>
              <w:rPr>
                <w:sz w:val="1"/>
                <w:szCs w:val="1"/>
                <w:color w:val="auto"/>
              </w:rPr>
            </w:pPr>
          </w:p>
        </w:tc>
      </w:tr>
      <w:tr>
        <w:trPr>
          <w:trHeight w:val="236"/>
        </w:trPr>
        <w:tc>
          <w:tcPr>
            <w:tcW w:w="304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2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10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 other:</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Software</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51,784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(51,784)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In-progress patent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270,886</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270,886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3"/>
              </w:rPr>
              <w:t>Accumulated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 Book</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License rights from related parties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136,665,000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(135,280,942</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80" w:type="dxa"/>
            <w:vAlign w:val="bottom"/>
            <w:gridSpan w:val="2"/>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1,384,058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License rights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line="20" w:lineRule="exact"/>
              <w:rPr>
                <w:sz w:val="1"/>
                <w:szCs w:val="1"/>
                <w:color w:val="auto"/>
              </w:rPr>
            </w:pPr>
          </w:p>
        </w:tc>
      </w:tr>
      <w:tr>
        <w:trPr>
          <w:trHeight w:val="237"/>
        </w:trPr>
        <w:tc>
          <w:tcPr>
            <w:tcW w:w="30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 other:</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51,784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1"/>
              <w:spacing w:after="0"/>
              <w:rPr>
                <w:sz w:val="20"/>
                <w:szCs w:val="20"/>
                <w:color w:val="auto"/>
              </w:rPr>
            </w:pPr>
            <w:r>
              <w:rPr>
                <w:rFonts w:ascii="Arial" w:cs="Arial" w:eastAsia="Arial" w:hAnsi="Arial"/>
                <w:sz w:val="18"/>
                <w:szCs w:val="18"/>
                <w:color w:val="auto"/>
              </w:rPr>
              <w:t>(51,784)</w:t>
            </w:r>
          </w:p>
        </w:tc>
        <w:tc>
          <w:tcPr>
            <w:tcW w:w="1280" w:type="dxa"/>
            <w:vAlign w:val="bottom"/>
            <w:gridSpan w:val="2"/>
          </w:tcPr>
          <w:p>
            <w:pPr>
              <w:jc w:val="right"/>
              <w:ind w:right="978"/>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In-progress patent</w:t>
            </w: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270,886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270,886</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333,415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272,521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Amortization expense was $195,853 and $1,851,203 for the three months ended September 30, 2023 and 2022, respectively. Amortization expense was $1,254,226 and $5,803,610 for the nine months ended September 30, 2023 and 2022, respectively. These amounts are included in cost of revenues in the accompanying condensed consolidated statements of operations and comprehensive income (loss). The weighted average remaining useful life for which amortization expense will be recognized is 0.3 years as of September 30, 2023. Future amortization expense of intangible assets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270,886</w:t>
            </w:r>
          </w:p>
        </w:tc>
      </w:tr>
      <w:tr>
        <w:trPr>
          <w:trHeight w:val="230"/>
        </w:trPr>
        <w:tc>
          <w:tcPr>
            <w:tcW w:w="9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ACCOUNTS PAYABLE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payable due to related party represents payables in the ordinary course of business primarily for purchases of game distribution licenses and also the royalties due to Suzhou Snail. As of September 30, 2023 and December 31, 2022, the Company had $19,669,868 and $19,918,259, respectively, as accounts payable due to Suzhou Snail. During the three months ended September 30, 2023 and 2022, the Company incurred $58,661 and $94,836, respectively as license costs due to Suzhou Snail and included in cost of revenues. During the nine months ended September 30, 2023 and 2022, the Company incurred $201,609 and $316,869, respectively as license costs due to Suzhou Snail and included in cost of revenues. During the nine months ended September 30, 2023 and 2022, respectively, there were $450,000 and $1,719,660 in payments to Suzhou Snail for royalties. There were no royalty payments made to Suzhou Snail during the three months ended September 30, 2023. During the three months ended September 30, 2022 there were $1,275,397 in payments to Suzhou Snail for royalties.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LOAN AND INTEREST RECEIVABLE — RELATED PARTY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2021, the Company loaned $200,000 to a wholly owned subsidiary of Suzhou Snail, the loan bears 2.0% per annum interest, interest and principal are due in February 2022. In February 2022, Suzhou Snail signed an agreement with this subsidiary and assumed the loan and related interest for a total of $203,890. Subsequently, $103,890 was offset against the loan and interest payable owed to Suzhou Snail on a separate note. Please refer to Note 14 — </w:t>
      </w:r>
      <w:r>
        <w:rPr>
          <w:rFonts w:ascii="Arial" w:cs="Arial" w:eastAsia="Arial" w:hAnsi="Arial"/>
          <w:sz w:val="17"/>
          <w:szCs w:val="17"/>
          <w:i w:val="1"/>
          <w:iCs w:val="1"/>
          <w:color w:val="auto"/>
        </w:rPr>
        <w:t>Loan Payable and Interest Payable — Related Parties</w:t>
      </w:r>
      <w:r>
        <w:rPr>
          <w:rFonts w:ascii="Arial" w:cs="Arial" w:eastAsia="Arial" w:hAnsi="Arial"/>
          <w:sz w:val="17"/>
          <w:szCs w:val="17"/>
          <w:color w:val="auto"/>
        </w:rPr>
        <w:t>. The total amount of loan and interest receivable — related parties was $103,249 and $101,753, as of September 30, 2023 and December 31, 2022, respectively. The Company earned $504 and $505 in interest on the related party loans receivable during the three months ended September 30, 2023 and 2022, respectively. Interest earned on the related party loans receivable during the nine months ended September 30, 2023 and 2022, was $1,496 and $1,249,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LOAN PAYABLE AND INTEREST PAYABLE — RELATED PARTIES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had a loan amount due to related parties of $400,000 bearing 2.0% per annum interest. $300,000 of the loan is from a wholly owned subsidiary of Suzhou Snail and due in June 2022, and $100,000 is from Suzhou Snail and due in December 2023. The $100,000 loan along with $3,890 interest payable to Suzhou Snail was offset by the loan receivable Suzhou Snail assumed in February 2022. Please refer to Note 13 — </w:t>
      </w:r>
      <w:r>
        <w:rPr>
          <w:rFonts w:ascii="Arial" w:cs="Arial" w:eastAsia="Arial" w:hAnsi="Arial"/>
          <w:sz w:val="17"/>
          <w:szCs w:val="17"/>
          <w:i w:val="1"/>
          <w:iCs w:val="1"/>
          <w:color w:val="auto"/>
        </w:rPr>
        <w:t>Loan and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Receivable — Related Party</w:t>
      </w:r>
      <w:r>
        <w:rPr>
          <w:rFonts w:ascii="Arial" w:cs="Arial" w:eastAsia="Arial" w:hAnsi="Arial"/>
          <w:sz w:val="17"/>
          <w:szCs w:val="17"/>
          <w:color w:val="auto"/>
        </w:rPr>
        <w:t>. In July 2022, the Company paid off the outstanding principal balance of $300,000.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and December 31, 2022, the total loan payable — related parties amounted to $0 and total unpaid interest amounted to $527,770, as of September 30, 2023 and December 31, 2022. There was no interest expense for the loans payable to related parties during the three months ended September 30, 2023 and 2022, respectively. During the nine months ended September 30, 2023 and 2022, the interest expenses for the loans payable to related parties were $0 and $3,222,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REVOLVING LOAN, SHORT TERM NOTES AND LONG - TERM DEBT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September 30, 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r>
      <w:tr>
        <w:trPr>
          <w:trHeight w:val="188"/>
        </w:trPr>
        <w:tc>
          <w:tcPr>
            <w:tcW w:w="6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2021 Revolving Loan - </w:t>
            </w:r>
            <w:r>
              <w:rPr>
                <w:rFonts w:ascii="Arial" w:cs="Arial" w:eastAsia="Arial" w:hAnsi="Arial"/>
                <w:sz w:val="18"/>
                <w:szCs w:val="18"/>
                <w:color w:val="auto"/>
              </w:rPr>
              <w:t>On June 21, 2023, the Company amended its revolving loan</w:t>
            </w:r>
          </w:p>
        </w:tc>
        <w:tc>
          <w:tcPr>
            <w:tcW w:w="16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agreement (“amended revolver”) and decreased the maximum balance to $6,000,000. The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amended revolver matures on December 31, 2023 and has an annual interest rate equal to the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prime rate less 0.25%. At September 30, 2023, the interest rate on this loan was 8.25%. The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revolver was secured by certificate of deposit accounts held with the financial institution and</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that were released in accordance with the 2023 amendment. Debt covenants of this loan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require the Company to maintain a minimum debt service coverage ratio of at least 1.5 to 1.</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Company was not in compliance with the debt service coverage ratio for the twelve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1"/>
              </w:rPr>
              <w:t>month period ended September 30, 2023 and received a waiver from the lender.</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r>
      <w:tr>
        <w:trPr>
          <w:trHeight w:val="202"/>
        </w:trPr>
        <w:tc>
          <w:tcPr>
            <w:tcW w:w="71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99"/>
              </w:rPr>
              <w:t xml:space="preserve">2021 Promissory Note - </w:t>
            </w:r>
            <w:r>
              <w:rPr>
                <w:rFonts w:ascii="Arial" w:cs="Arial" w:eastAsia="Arial" w:hAnsi="Arial"/>
                <w:sz w:val="18"/>
                <w:szCs w:val="18"/>
                <w:color w:val="auto"/>
                <w:w w:val="99"/>
              </w:rPr>
              <w:t>On June 17, 2021, the Company amended its loan agreement to</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reduce the principal amount with financial institution for 10 years, annual interest rate of</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w w:val="96"/>
              </w:rPr>
              <w:t>3.5% for the first 5 years, and then floating at Wall Street Journal rate from years 6 to 10, the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w w:val="95"/>
              </w:rPr>
              <w:t>loan is secured by the Company’s building and matures on June 30, 2031. The note is subject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to a prepayment penalty. Debt covenants of this loan require the Company to maintain a</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minimum debt service coverage ratio of at least 1.5 to 1. The Company was not in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compliance with the debt service coverage ratio for the twelve month period ended</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September 30, 2023 and received a waiver from the lender.</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2,832,231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2,891,820</w:t>
            </w:r>
          </w:p>
        </w:tc>
      </w:tr>
      <w:tr>
        <w:trPr>
          <w:trHeight w:val="202"/>
        </w:trPr>
        <w:tc>
          <w:tcPr>
            <w:tcW w:w="7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 xml:space="preserve">2022 Short Term Note - </w:t>
            </w:r>
            <w:r>
              <w:rPr>
                <w:rFonts w:ascii="Arial" w:cs="Arial" w:eastAsia="Arial" w:hAnsi="Arial"/>
                <w:sz w:val="18"/>
                <w:szCs w:val="18"/>
                <w:color w:val="auto"/>
                <w:w w:val="96"/>
              </w:rPr>
              <w:t>On January 26, 2022, the Company amended its revolving loan and</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agreements to obtain an additional note with a principal</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balance of</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$10,000,000 which was originally set to mature on January 26, 2023. Interest shall be equal</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 the higher of 3.75% or the Wall Street Journal Prime Rate plus 0.50%. The loan is secured</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by the Company’s assets. In the event of a default, all outstanding amounts under the note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will bear interest at a default rate equal to 5% over the note rate. Debt covenants of this loan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require the Company to maintain a minimum debt service coverage ratio of at least 1.5 to 1</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and will be measured quarterly. The Company was not in compliance with the debt service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coverage ratio for the twelve month period ended September 30, 2023 and received a waiver</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from the lender. In November 2022, the maturity was extended to January 26, 2024 and the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amended to the higher of the Wall Street Journal Prime Rate less 0.25%, or</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5.75%. At September 30, 2023, the interest rate on this loan was 8.25%.</w:t>
            </w: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2,083,333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5,833,333</w:t>
            </w:r>
          </w:p>
        </w:tc>
      </w:tr>
      <w:tr>
        <w:trPr>
          <w:trHeight w:val="202"/>
        </w:trPr>
        <w:tc>
          <w:tcPr>
            <w:tcW w:w="71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97"/>
              </w:rPr>
              <w:t xml:space="preserve">2023 Convertible Notes – </w:t>
            </w:r>
            <w:r>
              <w:rPr>
                <w:rFonts w:ascii="Arial" w:cs="Arial" w:eastAsia="Arial" w:hAnsi="Arial"/>
                <w:sz w:val="18"/>
                <w:szCs w:val="18"/>
                <w:color w:val="auto"/>
                <w:w w:val="97"/>
              </w:rPr>
              <w:t>On August 24, 2023, the Company issued convertible notes at a</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w w:val="95"/>
              </w:rPr>
              <w:t>7.4% discount and a principal balance of $1,080,000. The notes have an interest rate of 7.5%,</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will be paid in consecutive monthly installments beginning February 24, 2024 and will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mature on May 24, 2024. In the event of a default the interest rate will be increased to the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w w:val="98"/>
              </w:rPr>
              <w:t>lower of 16% per annum or the highest amount permitted by applicable law. The Company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w w:val="95"/>
              </w:rPr>
              <w:t>has the option to prepay the notes at any time and the note holders have the option to convert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w w:val="96"/>
              </w:rPr>
              <w:t>the notes, in whole or in part, any time after November 24, 2023. The Company recognized a</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discount of $678,254 on the notes to account for the stated discount, the fair value of the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warrants issued in connection with the notes and the costs of issuance. The discount is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amortized using the effective interest rate of 109.7%.</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515,217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 xml:space="preserve">2023 Note Payable – </w:t>
            </w:r>
            <w:r>
              <w:rPr>
                <w:rFonts w:ascii="Arial" w:cs="Arial" w:eastAsia="Arial" w:hAnsi="Arial"/>
                <w:sz w:val="18"/>
                <w:szCs w:val="18"/>
                <w:color w:val="auto"/>
                <w:w w:val="96"/>
              </w:rPr>
              <w:t>In July 2023, the Company entered into a cooperation agreement with</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its internet, server and datacenter vendor. The Company agreed to make the vendor the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xml:space="preserve">official server host of </w:t>
            </w:r>
            <w:r>
              <w:rPr>
                <w:rFonts w:ascii="Arial" w:cs="Arial" w:eastAsia="Arial" w:hAnsi="Arial"/>
                <w:sz w:val="18"/>
                <w:szCs w:val="18"/>
                <w:i w:val="1"/>
                <w:iCs w:val="1"/>
                <w:color w:val="auto"/>
                <w:w w:val="97"/>
              </w:rPr>
              <w:t>Ark: Survival Evolved</w:t>
            </w:r>
            <w:r>
              <w:rPr>
                <w:rFonts w:ascii="Arial" w:cs="Arial" w:eastAsia="Arial" w:hAnsi="Arial"/>
                <w:sz w:val="18"/>
                <w:szCs w:val="18"/>
                <w:color w:val="auto"/>
                <w:w w:val="97"/>
              </w:rPr>
              <w:t xml:space="preserve"> and future iterations and sequels of the game for</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 period of 7 years. In return the vendor has agreed to provide the Company with funds in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cash of up to $3.0 million without discount and free of charges and costs to the Company.</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The funds are to be repaid in monthly installments starting in November 2023 and are to be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based on 20% of the gross monthly Ark Survival revenues. The Company has imputed</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interest at 8.0% on draws made. If in default, the interest rate levied on outstanding balances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at a rate of 12.0% per annum.</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2,275,000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5880" w:type="dxa"/>
            <w:vAlign w:val="bottom"/>
            <w:tcBorders>
              <w:top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debt of $14,270,565, net of discount of $564,784</w:t>
            </w: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13,705,781</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17,725,153</w:t>
            </w:r>
          </w:p>
        </w:tc>
        <w:tc>
          <w:tcPr>
            <w:tcW w:w="100" w:type="dxa"/>
            <w:vAlign w:val="bottom"/>
            <w:tcBorders>
              <w:top w:val="single" w:sz="8" w:color="CCEEFF"/>
            </w:tcBorders>
          </w:tcPr>
          <w:p>
            <w:pPr>
              <w:spacing w:after="0"/>
              <w:rPr>
                <w:sz w:val="17"/>
                <w:szCs w:val="17"/>
                <w:color w:val="auto"/>
              </w:rPr>
            </w:pP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promissory note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2,832,231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86,524</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Less: revolving loan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notes payable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4,358,333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5,416,666</w:t>
            </w: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color w:val="auto"/>
              </w:rPr>
              <w:t>Less: convertible notes, net of discount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515,217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3,221,963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interest expense for the above debt and revolver loan amounted to $348,898 and $254,480 for the three months ended September 30, 2023 and 2022, respectively. Total interest expense for the above debt and revolver loan amounted to $937,893 and $594,171 for the nine months ended September 30, 2023 and 2022, respectively. Amortization of loan origination expenses and loan discounts of $121,930 and $6,590 are included as part of interest expense for the three months ended September 30, 2023 and 2022, respectively. Amortization of loan origination expenses loan discounts of $142,656 and $19,149, are included as part of interest expense for the nine months ended September 30, 2023 and 2022, respectively. As a result of the amendment to the revolving loan on June 21, 2023, the Company recognized $2,903 as additional amortization of loan origination expenses during the nine months ended September 30, 2023. The Company is in compliance with, or received waivers for, its debt covenants as of September 30, 2023 and December 31, 2022.</w:t>
      </w:r>
    </w:p>
    <w:p>
      <w:pPr>
        <w:sectPr>
          <w:pgSz w:w="11900" w:h="16845" w:orient="portrait"/>
          <w:cols w:equalWidth="0" w:num="1">
            <w:col w:w="11240"/>
          </w:cols>
          <w:pgMar w:left="320" w:top="688" w:right="3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280" w:type="dxa"/>
            <w:vAlign w:val="bottom"/>
            <w:gridSpan w:val="2"/>
          </w:tcPr>
          <w:p>
            <w:pPr>
              <w:ind w:left="4020"/>
              <w:spacing w:after="0"/>
              <w:rPr>
                <w:sz w:val="20"/>
                <w:szCs w:val="20"/>
                <w:color w:val="auto"/>
              </w:rPr>
            </w:pPr>
            <w:r>
              <w:rPr>
                <w:rFonts w:ascii="Arial" w:cs="Arial" w:eastAsia="Arial" w:hAnsi="Arial"/>
                <w:sz w:val="18"/>
                <w:szCs w:val="18"/>
                <w:b w:val="1"/>
                <w:bCs w:val="1"/>
                <w:color w:val="auto"/>
              </w:rPr>
              <w:t>Snail Inc. and Subsidiaries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8280" w:type="dxa"/>
            <w:vAlign w:val="bottom"/>
            <w:gridSpan w:val="2"/>
          </w:tcPr>
          <w:p>
            <w:pPr>
              <w:ind w:left="2920"/>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60" w:type="dxa"/>
            <w:vAlign w:val="bottom"/>
            <w:gridSpan w:val="3"/>
          </w:tcPr>
          <w:p>
            <w:pPr>
              <w:spacing w:after="0"/>
              <w:rPr>
                <w:sz w:val="20"/>
                <w:szCs w:val="20"/>
                <w:color w:val="auto"/>
              </w:rPr>
            </w:pPr>
            <w:r>
              <w:rPr>
                <w:rFonts w:ascii="Arial" w:cs="Arial" w:eastAsia="Arial" w:hAnsi="Arial"/>
                <w:sz w:val="18"/>
                <w:szCs w:val="18"/>
                <w:color w:val="auto"/>
              </w:rPr>
              <w:t>The following table provides future minimum payments of its long-term debt as of December 31:</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32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580" w:type="dxa"/>
            <w:vAlign w:val="bottom"/>
          </w:tcPr>
          <w:p>
            <w:pPr>
              <w:spacing w:after="0"/>
              <w:rPr>
                <w:sz w:val="18"/>
                <w:szCs w:val="18"/>
                <w:color w:val="auto"/>
              </w:rPr>
            </w:pPr>
          </w:p>
        </w:tc>
        <w:tc>
          <w:tcPr>
            <w:tcW w:w="8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9,968,601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1,579,415</w:t>
            </w:r>
          </w:p>
        </w:tc>
      </w:tr>
      <w:tr>
        <w:trPr>
          <w:trHeight w:val="216"/>
        </w:trPr>
        <w:tc>
          <w:tcPr>
            <w:tcW w:w="58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86,013</w:t>
            </w:r>
          </w:p>
        </w:tc>
      </w:tr>
      <w:tr>
        <w:trPr>
          <w:trHeight w:val="216"/>
        </w:trPr>
        <w:tc>
          <w:tcPr>
            <w:tcW w:w="58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89,115</w:t>
            </w:r>
          </w:p>
        </w:tc>
      </w:tr>
      <w:tr>
        <w:trPr>
          <w:trHeight w:val="216"/>
        </w:trPr>
        <w:tc>
          <w:tcPr>
            <w:tcW w:w="58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92,329</w:t>
            </w:r>
          </w:p>
        </w:tc>
      </w:tr>
      <w:tr>
        <w:trPr>
          <w:trHeight w:val="223"/>
        </w:trPr>
        <w:tc>
          <w:tcPr>
            <w:tcW w:w="58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2,455,092</w:t>
            </w:r>
          </w:p>
        </w:tc>
      </w:tr>
      <w:tr>
        <w:trPr>
          <w:trHeight w:val="216"/>
        </w:trPr>
        <w:tc>
          <w:tcPr>
            <w:tcW w:w="58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14,270,565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recognized an income tax benefit of $1,156,675 and $398,998 for the three months ended September 30, 2023 and 2022, respectively. The income tax benefit of $3,044,380 and income tax expense of $803,305 for the nine months ended September 30, 2023 and 2022, reflects an effective tax rate of 21% and 20%, respectively. As of September 30, 2023 the Company’s effective tax rate did not differ from the federal statutory rate of 21%.</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assesses all positive and negative evidence in determining if, based on the weight of such evidence, a valuation allowance is required to be recorded against the deferred tax assets as of September 30, 2023. The Company has concluded that the positive evidence of reversing taxable temporary differences, indefinite lived nature of certain available tax attributes, level of historical taxable income, projections of future taxable income and cumulative pre-tax book income on a rolling twelve-quarter basis to outweigh the negative evidence of recent losses. Accordingly, the Company has not provided for additional valuation allowance as of September 30, 2023. The realization of the deferred tax assets is contingent upon the Company’s upcoming new game releases to generate sufficient future taxable income. In the event that negative evidence outweighs positive evidence in future periods, the Company may need to record additional valuation allowance, which could have a material impact on our financial position.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subsidiaries currently file tax returns in the United States (federal and state) and Poland. The statute of limitations for its consolidated federal income tax returns are open for tax years ended December 31, 2019 and after. The statute of limitations for its consolidated state income tax returns are open for tax years ended December 31, 2018 and after. All tax periods for its Polish subsidiary are currently subject to examination since its inception in 2018. While the Company has historically only filed a state tax return in California, management has accrued income tax liabilities for additional states as of September 30, 2023 and December 31, 2022, respectively and is also undergoing the Voluntary Disclosure Agreement process in additional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OPERATING LEASE RIGHT-OF-USE ASSETS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September 30, 2023 and December 31, 2022, the Company’s net operating lease right-of-use assets amounted to $2,738,554 and $3,606,398, respectively. The Company had variable lease payments of approximately $58,071 and $22,713 during the three months ended September 30, 2023 and 2022, respectively. Variable lease payments were $97,875 and $49,730 during the nine months ended September 30, 2023 and 2022, respectively, which consisted primarily of common area maintenance charges and administrative fees. During the nine months ended September 30, 2022 the Company terminated one of its lease contracts and recognized a gain on the lease termination of $122,533. There was no such termination during the nine months ended September 30, 2023. The effect of the termination on the related lease asset and liability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461"/>
              <w:spacing w:after="0"/>
              <w:rPr>
                <w:sz w:val="20"/>
                <w:szCs w:val="20"/>
                <w:color w:val="auto"/>
              </w:rPr>
            </w:pPr>
            <w:r>
              <w:rPr>
                <w:rFonts w:ascii="Arial" w:cs="Arial" w:eastAsia="Arial" w:hAnsi="Arial"/>
                <w:sz w:val="18"/>
                <w:szCs w:val="18"/>
                <w:color w:val="auto"/>
                <w:w w:val="96"/>
              </w:rPr>
              <w:t>Right of</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62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Gain on</w:t>
            </w:r>
          </w:p>
        </w:tc>
      </w:tr>
      <w:tr>
        <w:trPr>
          <w:trHeight w:val="223"/>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461"/>
              <w:spacing w:after="0"/>
              <w:rPr>
                <w:sz w:val="20"/>
                <w:szCs w:val="20"/>
                <w:color w:val="auto"/>
              </w:rPr>
            </w:pPr>
            <w:r>
              <w:rPr>
                <w:rFonts w:ascii="Arial" w:cs="Arial" w:eastAsia="Arial" w:hAnsi="Arial"/>
                <w:sz w:val="18"/>
                <w:szCs w:val="18"/>
                <w:color w:val="auto"/>
                <w:w w:val="87"/>
              </w:rPr>
              <w:t>Use Asset</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Long Term</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Termination</w:t>
            </w:r>
          </w:p>
        </w:tc>
      </w:tr>
      <w:tr>
        <w:trPr>
          <w:trHeight w:val="216"/>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Terminations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(1,301,571</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442,704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costs included in the general and administrative expenses in our condensed consolidated statements of operations and comprehensive income (loss) for the three and nine months ended September 30, 2023 and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8"/>
                <w:szCs w:val="18"/>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41"/>
        </w:trPr>
        <w:tc>
          <w:tcPr>
            <w:tcW w:w="4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CCEEFF"/>
            </w:tcBorders>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419,605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1,198,467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1,213,386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operating leases for lease liabilities as of September 30, 2023 and September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1,155,759</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1,120,111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2.2 years</w:t>
            </w:r>
          </w:p>
        </w:tc>
        <w:tc>
          <w:tcPr>
            <w:tcW w:w="4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3.2 years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undiscounted lease payments for operating leases and a reconciliation of these payments to our operating lease liabilities as of September 30, 2023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9"/>
              </w:rPr>
              <w:t>Future lease</w:t>
            </w:r>
          </w:p>
        </w:tc>
        <w:tc>
          <w:tcPr>
            <w:tcW w:w="14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Imputed Interest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Pr>
          <w:p>
            <w:pPr>
              <w:spacing w:after="0"/>
              <w:rPr>
                <w:sz w:val="20"/>
                <w:szCs w:val="20"/>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payments</w:t>
            </w:r>
          </w:p>
        </w:tc>
        <w:tc>
          <w:tcPr>
            <w:tcW w:w="140" w:type="dxa"/>
            <w:vAlign w:val="bottom"/>
          </w:tcPr>
          <w:p>
            <w:pPr>
              <w:spacing w:after="0"/>
              <w:rPr>
                <w:sz w:val="20"/>
                <w:szCs w:val="20"/>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Lease Liabilities</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393,129</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1,610,844</w:t>
            </w:r>
          </w:p>
        </w:tc>
        <w:tc>
          <w:tcPr>
            <w:tcW w:w="14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105,810</w:t>
            </w: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1,505,034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1,453,785</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28,290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1,425,495</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3,457,758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172,078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3,285,680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Arial" w:cs="Arial" w:eastAsia="Arial" w:hAnsi="Arial"/>
          <w:sz w:val="18"/>
          <w:szCs w:val="18"/>
          <w:i w:val="1"/>
          <w:iCs w:val="1"/>
          <w:color w:val="auto"/>
        </w:rPr>
        <w:t>Myth of Empires</w:t>
      </w:r>
      <w:r>
        <w:rPr>
          <w:rFonts w:ascii="Arial" w:cs="Arial" w:eastAsia="Arial" w:hAnsi="Arial"/>
          <w:sz w:val="18"/>
          <w:szCs w:val="18"/>
          <w:color w:val="auto"/>
        </w:rPr>
        <w:t>, which was developed by Suzhou Angela Online Game Technology Co., Ltd. (“Angela Game”) and published by Imperium Interactive Entertainment Limited (“Imperium”).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ARK: Survival Evolved source code.</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8, 2023, the Company entered into a settlement agreement with Angela Game. The settlement agreement includes an upfront payment from Angela Game to the Company plus ongoing payments. The upfront payment was recorded as deferred revenue, with a portion of the payment included in “other income” and the remaining amount to be recognized upon the satisfaction of certain performance obligations and future revenue sharing.</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14, 2023, Bel Air Soto, LLC (“Plaintiff”) filed suit in the Superior Court of California, County of Los Angeles, against Snail Games USA Inc. and INDIEV, Inc. (“INDIEV”), an affiliate company that is owned by Mr. Hai Shi, the Company’s Founder,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The Company has responded to the complaint with an answer and cross-complaint. The cross-complaint seeks return for the $130,000 security deposit. The landlord has answered and denied the allegations of the cross-complaint. The Company intends to vigorously defend against the claims asserted.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2023, INDIEV has filed for bankruptcy and the Company does not expect to recover its costs from INDIEV. At this time, the Company is unable to quantify the magnitude of the potential loss should the plaintiffs’ lawsuit succeed and accordingly no accrual for loss has been recorded in the accompanying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(LOSS) PER SHARE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uses the two class method to compute its basic earnings (loss) per share (“Basic EPS”) and diluted earnings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using the treasury stock method. The restricted stock units, underwriters warrants and warrants issued in connection with the convertible debt and equity line of credit were excluded from the treasury stock method computation of diluted shares as their inclusion would have had an antidilutive effect for the three and nine months ended September 30, 2023. The convertible notes were excluded from the if-converted method computation of diluted shares as their inclusion would have had an antidilutive effect for the three and nine months ended September 30, 2023. There were no such exclusions made in the 2022 calculation. For the three and nine months ended September 30, 2022, the Company has used the number of shares transferred in the reorganization transaction for the denominator in the EPS calculation. The following table provides a reconciliation of the weighted average number of shares used in the calculation of basic and diluted EPS.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320" w:type="dxa"/>
            <w:vAlign w:val="bottom"/>
          </w:tcPr>
          <w:p>
            <w:pPr>
              <w:spacing w:after="0"/>
              <w:rPr>
                <w:sz w:val="18"/>
                <w:szCs w:val="18"/>
                <w:color w:val="auto"/>
              </w:rPr>
            </w:pPr>
          </w:p>
        </w:tc>
        <w:tc>
          <w:tcPr>
            <w:tcW w:w="300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w w:val="99"/>
              </w:rPr>
              <w:t>Net (loss) income attributable to Class A common</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(955,763)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(1,538,738)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(2,477,768)</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3,218,022</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(loss) attributable to Class B common</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(3,476,869)</w:t>
            </w:r>
          </w:p>
        </w:tc>
        <w:tc>
          <w:tcPr>
            <w:tcW w:w="4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8"/>
                <w:szCs w:val="18"/>
                <w:color w:val="auto"/>
              </w:rPr>
              <w:t>(9,005,673)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ind w:left="180"/>
              <w:spacing w:after="0" w:line="195" w:lineRule="exact"/>
              <w:rPr>
                <w:sz w:val="20"/>
                <w:szCs w:val="20"/>
                <w:color w:val="auto"/>
              </w:rPr>
            </w:pPr>
            <w:r>
              <w:rPr>
                <w:rFonts w:ascii="Arial" w:cs="Arial" w:eastAsia="Arial" w:hAnsi="Arial"/>
                <w:sz w:val="18"/>
                <w:szCs w:val="18"/>
                <w:color w:val="auto"/>
                <w:w w:val="96"/>
              </w:rPr>
              <w:t>Total net (loss) income attributable to Snail Inc and</w:t>
            </w: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(4,432,632)</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(1,538,738)</w:t>
            </w: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(11,483,441)</w:t>
            </w:r>
          </w:p>
        </w:tc>
        <w:tc>
          <w:tcPr>
            <w:tcW w:w="60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3,218,022</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Snail Games USA Inc.</w:t>
            </w:r>
          </w:p>
        </w:tc>
        <w:tc>
          <w:tcPr>
            <w:tcW w:w="16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60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92"/>
              </w:rPr>
              <w:t>Class A weighted average shares outstanding - basic</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7,901,145</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35,000,000</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7,909,715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w w:val="92"/>
              </w:rPr>
              <w:t>Class B weighted average shares outstanding - basic</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28,748,580</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28,748,580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and B basic earnings per share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w w:val="99"/>
              </w:rPr>
              <w:t>Net (loss) income attributable to Class A common</w:t>
            </w:r>
          </w:p>
        </w:tc>
        <w:tc>
          <w:tcPr>
            <w:tcW w:w="160" w:type="dxa"/>
            <w:vAlign w:val="bottom"/>
            <w:vMerge w:val="restart"/>
          </w:tcPr>
          <w:p>
            <w:pPr>
              <w:spacing w:after="0"/>
              <w:rPr>
                <w:sz w:val="17"/>
                <w:szCs w:val="17"/>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(955,763)</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(1,538,738)</w:t>
            </w: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(2,477,768)</w:t>
            </w:r>
          </w:p>
        </w:tc>
        <w:tc>
          <w:tcPr>
            <w:tcW w:w="60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3,218,022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6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attributable to Class B common</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shd w:val="clear" w:color="auto" w:fill="CCEEFF"/>
          </w:tcPr>
          <w:p>
            <w:pPr>
              <w:spacing w:after="0"/>
              <w:rPr>
                <w:sz w:val="13"/>
                <w:szCs w:val="13"/>
                <w:color w:val="auto"/>
              </w:rPr>
            </w:pPr>
          </w:p>
        </w:tc>
        <w:tc>
          <w:tcPr>
            <w:tcW w:w="160" w:type="dxa"/>
            <w:vAlign w:val="bottom"/>
            <w:vMerge w:val="restart"/>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(3,476,869)</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8"/>
                <w:szCs w:val="18"/>
                <w:color w:val="auto"/>
              </w:rPr>
              <w:t>(9,005,673)</w:t>
            </w:r>
          </w:p>
        </w:tc>
        <w:tc>
          <w:tcPr>
            <w:tcW w:w="600" w:type="dxa"/>
            <w:vAlign w:val="bottom"/>
            <w:gridSpan w:val="2"/>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2"/>
              </w:rPr>
              <w:t>Class A weighted average shares outstanding - basic</w:t>
            </w: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7,901,145</w:t>
            </w:r>
          </w:p>
        </w:tc>
        <w:tc>
          <w:tcPr>
            <w:tcW w:w="3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35,000,000</w:t>
            </w:r>
          </w:p>
        </w:tc>
        <w:tc>
          <w:tcPr>
            <w:tcW w:w="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7,909,715</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35,000,000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effects of common stock equivalents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ind w:left="180"/>
              <w:spacing w:after="0" w:line="195" w:lineRule="exact"/>
              <w:rPr>
                <w:sz w:val="20"/>
                <w:szCs w:val="20"/>
                <w:color w:val="auto"/>
              </w:rPr>
            </w:pPr>
            <w:r>
              <w:rPr>
                <w:rFonts w:ascii="Arial" w:cs="Arial" w:eastAsia="Arial" w:hAnsi="Arial"/>
                <w:sz w:val="18"/>
                <w:szCs w:val="18"/>
                <w:color w:val="auto"/>
              </w:rPr>
              <w:t>Class A weighted average shares outstanding -</w:t>
            </w: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7,901,145</w:t>
            </w:r>
          </w:p>
        </w:tc>
        <w:tc>
          <w:tcPr>
            <w:tcW w:w="34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2"/>
            <w:vMerge w:val="restart"/>
          </w:tcPr>
          <w:p>
            <w:pPr>
              <w:jc w:val="right"/>
              <w:ind w:right="261"/>
              <w:spacing w:after="0"/>
              <w:rPr>
                <w:sz w:val="20"/>
                <w:szCs w:val="20"/>
                <w:color w:val="auto"/>
              </w:rPr>
            </w:pPr>
            <w:r>
              <w:rPr>
                <w:rFonts w:ascii="Arial" w:cs="Arial" w:eastAsia="Arial" w:hAnsi="Arial"/>
                <w:sz w:val="18"/>
                <w:szCs w:val="18"/>
                <w:color w:val="auto"/>
              </w:rPr>
              <w:t>35,000,000</w:t>
            </w:r>
          </w:p>
        </w:tc>
        <w:tc>
          <w:tcPr>
            <w:tcW w:w="320" w:type="dxa"/>
            <w:vAlign w:val="bottom"/>
          </w:tcPr>
          <w:p>
            <w:pPr>
              <w:spacing w:after="0"/>
              <w:rPr>
                <w:sz w:val="15"/>
                <w:szCs w:val="15"/>
                <w:color w:val="auto"/>
              </w:rPr>
            </w:pPr>
          </w:p>
        </w:tc>
        <w:tc>
          <w:tcPr>
            <w:tcW w:w="132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7,909,715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Class B weighted average shares outstanding - basic</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Dilutive effects of common stock equivalents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Class B weighted average shares outstanding -</w:t>
            </w: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1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340" w:type="dxa"/>
            <w:vAlign w:val="bottom"/>
            <w:vMerge w:val="restart"/>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28,748,580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(loss) earnings per Class A and B share</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NOTE 20 – EQUITY</w:t>
            </w: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9, 2022, in connection with the IPO, the Company entered into an underwriting agreement (the “Underwriting Agreement” with the underwriters (the “Underwriters”), pursuant to which the Company agreed to issue and sell 3,000,000 shares of Class A common stock (the “Firm Shares”) at a purchase price of $4.675 per share to the Underwriters and granted the Underwriters an option (the “Over-Allotment Option”) to purchase up to 450,000 additional shares of Class A common stock (the “Option Shares”) at a purchase price of $4.675 per share. The Underwriters had the right to exercise the Over-Allotment Option at any time in whole, or from time to time in part, on or before the forty-fifth day following the effectiveness of the IPO. The Over-Allotment Option was not exercised by the Underwriters prior to its expiration.</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Underwriting Agreement, on November 9, 2022, the Company also issued to the Underwriters warrants to purchase such number of shares of the Company’s Class A common stock in an amount equal to four percent of the total number of shares of Class A common stock sold in the IPO, or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Quarterly Report.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605"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Warrants and Over-Allotment Option are legally detachable and separately exercisable from each other and from the Firm Shares; therefore, they meet the definition of freestanding and are not considered embedded in the Firm Shares.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an average expected volatility of 53%, discount rate of 4.49% and remaining term of 3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allocates all the issuance costs to the firm shares as a reduction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2023, pursuant to a securities purchase agreement (the “SPA”), the Company issued to two accredited investors (the convertible debt “Investors”) convertible notes with an aggregate principal amount of $1,080,000 (the “Convertible Notes”) and warrants to purchase up to an aggregate of 714,285 shares of the Company’s Class A common stock for gross proceeds of $1,000,000 (the “Convertible Notes Financing”).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Convertible Notes Financing, the Company also entered into a registration rights agreement with the Investors. So long as the Company complies with certain conditions set forth in the SPA and the registration rights agreement, the Company will sell and the Investors will purchase, an additional $1,080,000 of aggregate principal amount of notes and warrants in the second tranche of the Convertible Note Financing. The second tranche closing has not yet taken place.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Convertible Notes carry an original issue discount of approximately 7.4%, bear interest at a rate of 7.5% per annum (16% per annum in case of an event of default), are repayable in equal consecutive monthly installments beginning February 24, 2024 and mature on May 24, 2024 (the “Maturity Date”).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may be prepaid by the Company upon giving the Investors a fifteen-trading day notice by paying an amount equal to the then outstanding balance. If the Company enters into a qualifying financing it may be required by the Investors to repay part or all of the Convertible Notes at a 112.5% premium (limited to 10% of the proceeds of the qualified financing, if such financing results in gross proceeds to the Company at least $5,000,000). In event of default or change of control, the Investors may require the Company to prepay the Convertible Notes at a 120% premium.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Subject to certain ownership limitations, starting three months after their issuance, the Convertible Notes can be converted at the option of the holder at any time into shares of the Company’s Class A common, at a conversion price equal 90% (85% in case of an event of default) of the average of the three the lowest daily volume weighted average price (“VWAP”) of the Class A common stock during the ten (10) trading days period prior the receipt of the notice of conversion. The conversion price may be adjusted if the Company issues a qualifying security at a lower price than the then conversion price.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upon receipt of conversion notice, the Company cannot issue shares of Class A common stock for any reason, then it is required to issue as many shares of Class A common stock as it is able to issue and, with respect to the unconverted portion, the Noteholder may elect for the Company to pay for each shares of Class A common stock that could not be issued at a price equal to the higher of the then conversion price or the VWAP as of the date of the conversion notice.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that the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three and nine months ended September 30, 2023, was not significant and as such, not recorded.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the date of issuance, the Company allocated the proceeds between the instruments issued using fair value for the derivative liability with the residual amounts allocated to the convertible notes and warrants using relative fair value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554,246</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Derivative liability</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236"/>
        </w:trPr>
        <w:tc>
          <w:tcPr>
            <w:tcW w:w="28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445,754</w:t>
            </w:r>
          </w:p>
        </w:tc>
        <w:tc>
          <w:tcPr>
            <w:tcW w:w="2800" w:type="dxa"/>
            <w:vAlign w:val="bottom"/>
          </w:tcPr>
          <w:p>
            <w:pPr>
              <w:spacing w:after="0"/>
              <w:rPr>
                <w:sz w:val="20"/>
                <w:szCs w:val="20"/>
                <w:color w:val="auto"/>
              </w:rPr>
            </w:pPr>
          </w:p>
        </w:tc>
      </w:tr>
      <w:tr>
        <w:trPr>
          <w:trHeight w:val="203"/>
        </w:trPr>
        <w:tc>
          <w:tcPr>
            <w:tcW w:w="2820" w:type="dxa"/>
            <w:vAlign w:val="bottom"/>
          </w:tcPr>
          <w:p>
            <w:pPr>
              <w:spacing w:after="0"/>
              <w:rPr>
                <w:sz w:val="17"/>
                <w:szCs w:val="17"/>
                <w:color w:val="auto"/>
              </w:rPr>
            </w:pPr>
          </w:p>
        </w:tc>
        <w:tc>
          <w:tcPr>
            <w:tcW w:w="2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proceeds</w:t>
            </w:r>
          </w:p>
        </w:tc>
        <w:tc>
          <w:tcPr>
            <w:tcW w:w="25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1,000,000</w:t>
            </w:r>
          </w:p>
        </w:tc>
        <w:tc>
          <w:tcPr>
            <w:tcW w:w="60" w:type="dxa"/>
            <w:vAlign w:val="bottom"/>
            <w:tcBorders>
              <w:top w:val="single" w:sz="8" w:color="CCEEFF"/>
            </w:tcBorders>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9"/>
        </w:trPr>
        <w:tc>
          <w:tcPr>
            <w:tcW w:w="28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707"/>
              <w:spacing w:after="0"/>
              <w:rPr>
                <w:sz w:val="20"/>
                <w:szCs w:val="20"/>
                <w:color w:val="auto"/>
              </w:rPr>
            </w:pPr>
            <w:r>
              <w:rPr>
                <w:rFonts w:ascii="Arial" w:cs="Arial" w:eastAsia="Arial" w:hAnsi="Arial"/>
                <w:sz w:val="18"/>
                <w:szCs w:val="18"/>
                <w:color w:val="auto"/>
              </w:rPr>
              <w:t>F-25</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of $525,754 between the allocated proceeds to the Convertible Notes and the aggregate principal amount will be accreted during the life of the notes. Additionally, $152,500 of transaction costs incurred by the Company were recorded as debt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Convertible Notes as of September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vMerge w:val="restart"/>
          </w:tcPr>
          <w:p>
            <w:pPr>
              <w:spacing w:after="0"/>
              <w:rPr>
                <w:sz w:val="20"/>
                <w:szCs w:val="20"/>
                <w:color w:val="auto"/>
              </w:rPr>
            </w:pPr>
            <w:r>
              <w:rPr>
                <w:rFonts w:ascii="Arial" w:cs="Arial" w:eastAsia="Arial" w:hAnsi="Arial"/>
                <w:sz w:val="18"/>
                <w:szCs w:val="18"/>
                <w:color w:val="auto"/>
              </w:rPr>
              <w:t>Unamortized debt</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w:t>
            </w: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discount and issuance</w:t>
            </w:r>
          </w:p>
        </w:tc>
        <w:tc>
          <w:tcPr>
            <w:tcW w:w="1920" w:type="dxa"/>
            <w:vAlign w:val="bottom"/>
            <w:gridSpan w:val="4"/>
          </w:tcPr>
          <w:p>
            <w:pPr>
              <w:ind w:left="140"/>
              <w:spacing w:after="0"/>
              <w:rPr>
                <w:sz w:val="20"/>
                <w:szCs w:val="20"/>
                <w:color w:val="auto"/>
              </w:rPr>
            </w:pPr>
            <w:r>
              <w:rPr>
                <w:rFonts w:ascii="Arial" w:cs="Arial" w:eastAsia="Arial" w:hAnsi="Arial"/>
                <w:sz w:val="18"/>
                <w:szCs w:val="18"/>
                <w:color w:val="auto"/>
              </w:rPr>
              <w:t>Net carrying</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2280" w:type="dxa"/>
            <w:vAlign w:val="bottom"/>
            <w:gridSpan w:val="4"/>
          </w:tcPr>
          <w:p>
            <w:pPr>
              <w:ind w:left="460"/>
              <w:spacing w:after="0"/>
              <w:rPr>
                <w:sz w:val="20"/>
                <w:szCs w:val="20"/>
                <w:color w:val="auto"/>
              </w:rPr>
            </w:pPr>
            <w:r>
              <w:rPr>
                <w:rFonts w:ascii="Arial" w:cs="Arial" w:eastAsia="Arial" w:hAnsi="Arial"/>
                <w:sz w:val="18"/>
                <w:szCs w:val="18"/>
                <w:color w:val="auto"/>
              </w:rPr>
              <w:t>Principal Amount</w:t>
            </w:r>
          </w:p>
        </w:tc>
        <w:tc>
          <w:tcPr>
            <w:tcW w:w="720" w:type="dxa"/>
            <w:vAlign w:val="bottom"/>
          </w:tcPr>
          <w:p>
            <w:pPr>
              <w:spacing w:after="0"/>
              <w:rPr>
                <w:sz w:val="20"/>
                <w:szCs w:val="20"/>
                <w:color w:val="auto"/>
              </w:rPr>
            </w:pPr>
            <w:r>
              <w:rPr>
                <w:rFonts w:ascii="Arial" w:cs="Arial" w:eastAsia="Arial" w:hAnsi="Arial"/>
                <w:sz w:val="18"/>
                <w:szCs w:val="18"/>
                <w:color w:val="auto"/>
              </w:rPr>
              <w:t>costs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Amount</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Levelling</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642,204</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515,217</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debt discount is being amortized to interest expense over the maturity period using the effective interest method. For the three and nine months ended September 30, 2023, the Company recognized $121,796 of interest expense related to the Convertible Notes, comprising of $8,325 of contractual interest expense, $87,958 in accretion and $25,513 of amortization of debt discount and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convertible note warrants allow the Investors to purchase an aggregate of 714,285 shares of the Company’s Class A common stock at an exercise price of $1.89. The warrants can be exercised, subject to certain ownership limitations, in whole or in part during the exercise period commencing on November 24, 2023 and ending on the date that is five years thereafter.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their adjustment provisions, the warrants are classified as a liability on the condensed consolidated balance sheet. The fair value of the warrants at issuance has been estimated using a Monte-Carlo model and the following significant inputs:</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Issuance</w:t>
            </w:r>
          </w:p>
        </w:tc>
        <w:tc>
          <w:tcPr>
            <w:tcW w:w="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September 30,</w:t>
            </w:r>
          </w:p>
        </w:tc>
      </w:tr>
      <w:tr>
        <w:trPr>
          <w:trHeight w:val="237"/>
        </w:trPr>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date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 liability, which uses level 3 inputs, is to be measured at fair value each reporting period with the change in fair value being recognized in other income (expense). At September 30, 2023, the fair value of the warrant liability was $452,351 and the changes in fair value during the three months ended September 30, 2023, amounted to a charge of $6,597 included in other income in our condensed consolidated statements of operations and comprehensive income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 Purchase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covering the offer and sale of up to 8,913,312 shares of Class A common stock was declared effective on October 30, 2023, and an amendment increasing the registered shares to 15,093,768 was filed on October 10, 2023. The purchase price will be calculated as 92% of the volume weighted average prices of the Company’s common stock during normal trading hours for five business days prior to the closing date with respect of a purchase notice.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Concurrently with the signing of the Equity Line Purchase Agreement, the Company issued the equity line warrant to purchase 367,647 shares of its Class A common stock to the investor as a commitment fee. The total fair value, at the date of issuance, of the equity line warrant of approximately $105,411 was recorded as a liability and deferred offering cost and is included in other assets on our condensed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equity line of credit the Company issued to the Investors warrants to purchase an aggregate 367,647 shares of the Company’s Class A common stock for an exercise price of $1.50. The warrants can be exercised, subject to certain ownership limitations, in whole or in part during the exercise period commencing on August 24, 2023 and ending on the date that is five years thereafter.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their adjustment provision, the warrants are classified as a liability on the consolidated balance sheet. The fair value of the warrants at issuance has been estimated using a Monte-Carlo model and the following significant inputs:</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.Issuance</w:t>
            </w:r>
          </w:p>
        </w:tc>
        <w:tc>
          <w:tcPr>
            <w:tcW w:w="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auto"/>
              </w:rPr>
              <w:t>September 30,</w:t>
            </w:r>
          </w:p>
        </w:tc>
      </w:tr>
      <w:tr>
        <w:trPr>
          <w:trHeight w:val="237"/>
        </w:trPr>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date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5"/>
              </w:rPr>
              <w:t>1.14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ind w:left="600"/>
              <w:spacing w:after="0"/>
              <w:rPr>
                <w:sz w:val="20"/>
                <w:szCs w:val="20"/>
                <w:color w:val="auto"/>
              </w:rPr>
            </w:pPr>
            <w:r>
              <w:rPr>
                <w:rFonts w:ascii="Arial" w:cs="Arial" w:eastAsia="Arial" w:hAnsi="Arial"/>
                <w:sz w:val="18"/>
                <w:szCs w:val="18"/>
                <w:color w:val="auto"/>
                <w:w w:val="85"/>
              </w:rPr>
              <w:t>1.89</w:t>
            </w:r>
          </w:p>
        </w:tc>
        <w:tc>
          <w:tcPr>
            <w:tcW w:w="1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5"/>
              </w:rPr>
              <w:t>4.90</w:t>
            </w:r>
          </w:p>
        </w:tc>
        <w:tc>
          <w:tcPr>
            <w:tcW w:w="1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0"/>
              </w:rPr>
              <w:t>40.0%</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0"/>
              </w:rPr>
              <w:t>4.61%</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 liability, which uses level 3 inputs, is to be measured at fair value at each reporting period and with the change in fair value being recognized in earnings. At September 30, 2023, the fair value of the warrant liability was $76,346 and the changes in fair value during the three and nine months ended September 30, 2023 amounted to an income of $29,065.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RSUs granted to directors vest based on the directors’ continued employment with us through each applicable vest date, which is generally over one year. If the vesting conditions are not met, unvested RSUs will be forfeited. The following table summarizes our RSU units activity with directors for the nine months ended September 30, 2023. There were no activities during the nine months ended September 30, 2022.</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260" w:type="dxa"/>
            <w:vAlign w:val="bottom"/>
          </w:tcPr>
          <w:p>
            <w:pPr>
              <w:spacing w:after="0"/>
              <w:rPr>
                <w:sz w:val="18"/>
                <w:szCs w:val="18"/>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 Fair</w:t>
            </w:r>
          </w:p>
        </w:tc>
      </w:tr>
      <w:tr>
        <w:trPr>
          <w:trHeight w:val="241"/>
        </w:trPr>
        <w:tc>
          <w:tcPr>
            <w:tcW w:w="6260" w:type="dxa"/>
            <w:vAlign w:val="bottom"/>
          </w:tcPr>
          <w:p>
            <w:pPr>
              <w:spacing w:after="0"/>
              <w:rPr>
                <w:sz w:val="20"/>
                <w:szCs w:val="20"/>
                <w:color w:val="auto"/>
              </w:rPr>
            </w:pPr>
          </w:p>
        </w:tc>
        <w:tc>
          <w:tcPr>
            <w:tcW w:w="20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Values</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RSUs granted to directors is based on the quoted market price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578"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PSU activity with employees, presented with the maximum number of shares that could potentially vest, for the nine months ended September 30, 2023. There were no activities during the nine months ended September 30, 2022.</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260" w:type="dxa"/>
            <w:vAlign w:val="bottom"/>
          </w:tcPr>
          <w:p>
            <w:pPr>
              <w:spacing w:after="0"/>
              <w:rPr>
                <w:sz w:val="18"/>
                <w:szCs w:val="18"/>
                <w:color w:val="auto"/>
              </w:rPr>
            </w:pPr>
          </w:p>
        </w:tc>
        <w:tc>
          <w:tcPr>
            <w:tcW w:w="2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 Fair</w:t>
            </w:r>
          </w:p>
        </w:tc>
      </w:tr>
      <w:tr>
        <w:trPr>
          <w:trHeight w:val="241"/>
        </w:trPr>
        <w:tc>
          <w:tcPr>
            <w:tcW w:w="6260" w:type="dxa"/>
            <w:vAlign w:val="bottom"/>
          </w:tcPr>
          <w:p>
            <w:pPr>
              <w:spacing w:after="0"/>
              <w:rPr>
                <w:sz w:val="20"/>
                <w:szCs w:val="20"/>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Values</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1,197,552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(26,789)</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1,170,763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PSUs granted to employees is based on the quoted market price of our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share repurchases settled in the nine months ended September 30, 2023 were open market transactions. As of September 30,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Stock-based compensation expense resulting from RSUs and PSUs of $220,231 and $589,532 are recorded under general and administrative expenses included in our condensed consolidated statements of operations and comprehensive income (loss) for the three and nine months ended September 30, 2023, respectively. Stock-based compensation expense resulting from PSUs of $16,411 and $32,475 are recorded under research and development expenses included in our condensed consolidated statements of operations and comprehensive income (loss) for the three and nine months ended September 30, 2023, respectively. There were no stock-based compensation expenses incurred during the three and nine months ended September 30, 2022.</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September 30, 2023 and 2022, the Company recognized approximately $48,308 and $0 respectively, of deferred income tax benefit related to our stock-based compensation expense. During the nine months ended September 30, 2023 and 2022, the Company recognized approximately $131,185 and $0 respectively, of deferred income tax benefit related to our stock-based compensation expense.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our total unrecognized compensation cost related to RSUs and PSUs was approximately $1.3 million and is expected to be recognized over a weighted-average service period of 2.6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The following discussion and analysis should be read in conjunction with our unaudited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the “Cautionary Statement Regarding Forward-Looking Statements” section of this Quarterly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has been a top-25 selling game on the Steam platform by gross revenue in each year we released an </w:t>
      </w:r>
      <w:r>
        <w:rPr>
          <w:rFonts w:ascii="Arial" w:cs="Arial" w:eastAsia="Arial" w:hAnsi="Arial"/>
          <w:sz w:val="17"/>
          <w:szCs w:val="17"/>
          <w:i w:val="1"/>
          <w:iCs w:val="1"/>
          <w:color w:val="auto"/>
        </w:rPr>
        <w:t>ARK</w:t>
      </w:r>
      <w:r>
        <w:rPr>
          <w:rFonts w:ascii="Arial" w:cs="Arial" w:eastAsia="Arial" w:hAnsi="Arial"/>
          <w:sz w:val="17"/>
          <w:szCs w:val="17"/>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is a leader within the sandbox survival genre with 88.4 million console and PC installs through September 30, 2023. See “— Key Performance Metrics and Non-GAAP Measures.” In the three and nine months ended September 30, 2023,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averaged a total of 231,337 and 249,170 daily active users (“DAUs”) on the Steam and Epic platforms as compared to 339,884 and 319,013 DAUs in the three and nine months ended September 30, 2022, respectively. We define “daily active users” as the number of unique users who play any given game on any given day. For the three months ended September 30, 2023 and 2022, we generated 86.4% and 89.6%, respectively, of our revenues from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For the nine months ended September 30, 2023 and 2022, we generated 86.9% and 91.7%, respectively, of our revenues from </w:t>
      </w:r>
      <w:r>
        <w:rPr>
          <w:rFonts w:ascii="Arial" w:cs="Arial" w:eastAsia="Arial" w:hAnsi="Arial"/>
          <w:sz w:val="17"/>
          <w:szCs w:val="17"/>
          <w:i w:val="1"/>
          <w:iCs w:val="1"/>
          <w:color w:val="auto"/>
        </w:rPr>
        <w:t>ARK: Survival Evolved</w:t>
      </w:r>
      <w:r>
        <w:rPr>
          <w:rFonts w:ascii="Arial" w:cs="Arial" w:eastAsia="Arial" w:hAnsi="Arial"/>
          <w:sz w:val="17"/>
          <w:szCs w:val="17"/>
          <w:color w:val="auto"/>
        </w:rPr>
        <w:t>.</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Our dedication to providing audiences with high-quality entertainment experiences utilizing the latest gaming technology has produced strong user engagement, continued revenue growth, and increased cash flows. Through September 30, 2023,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game has been played for 3.4 billion hours with an average playing time per user of more than 162 hours and with the top 21.0% of all players spending over 100 hours in the game, according to data from the Steam platform. For the three months ended September 30, 2023 and 2022, our net revenue was $9.0 million and $15.6 million, respectively. For the nine months ended September 30, 2023 and 2022, our net revenue was $32.3 million and $59.1 million, respectively. During the three months ended September 30, 2023, approximately 43.0% of our revenue came from consoles, 41.4% from PC and 15.6% from mobile platforms. During the nine months ended September 30, 2023, approximately 41.1% of our revenue came from consoles, 37.4% from PC and 14.3% from mobile platforms. We had a net loss of $4.4 million for the three months ended September 30, 2023 as compared to a net loss of $1.5 million for the three months ended September 30, 2022. For the nine months ended September 30, 2023 we had a net loss of $11.5 million, as compared to net income of $3.3 million for the nine months ended September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a number of factors that affect the performance of our business, and the comparability of our results from period to period, including:</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our content strategy</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Arial" w:cs="Arial" w:eastAsia="Arial" w:hAnsi="Arial"/>
          <w:sz w:val="16"/>
          <w:szCs w:val="16"/>
          <w:i w:val="1"/>
          <w:iCs w:val="1"/>
          <w:color w:val="auto"/>
        </w:rPr>
        <w:t>NOIZ</w:t>
      </w:r>
      <w:r>
        <w:rPr>
          <w:rFonts w:ascii="Arial" w:cs="Arial" w:eastAsia="Arial" w:hAnsi="Arial"/>
          <w:sz w:val="16"/>
          <w:szCs w:val="16"/>
          <w:color w:val="auto"/>
        </w:rPr>
        <w:t>, by attracting new influencers and brand customers.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b w:val="1"/>
          <w:bCs w:val="1"/>
          <w:i w:val="1"/>
          <w:iCs w:val="1"/>
          <w:color w:val="auto"/>
        </w:rPr>
        <w:t>Growth of user base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have experienced significant growth in our number of downloads over the last several years. We have sold 42.8 million units between January 1, 2016 and September 30, 2023. We sold 1.2 million units during both of the three month periods ended September 30, 2023 and 2022. During the nine months ended September 30, 2023 and 2022, we sold 3.9 million units and 4.2 million units, respectively.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on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Arial" w:cs="Arial" w:eastAsia="Arial" w:hAnsi="Arial"/>
          <w:sz w:val="17"/>
          <w:szCs w:val="17"/>
          <w:i w:val="1"/>
          <w:iCs w:val="1"/>
          <w:color w:val="auto"/>
        </w:rPr>
        <w:t>Ark: Survival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Evolved </w:t>
      </w:r>
      <w:r>
        <w:rPr>
          <w:rFonts w:ascii="Arial" w:cs="Arial" w:eastAsia="Arial" w:hAnsi="Arial"/>
          <w:sz w:val="17"/>
          <w:szCs w:val="17"/>
          <w:color w:val="auto"/>
        </w:rPr>
        <w:t>is our master game and</w:t>
      </w:r>
      <w:r>
        <w:rPr>
          <w:rFonts w:ascii="Arial" w:cs="Arial" w:eastAsia="Arial" w:hAnsi="Arial"/>
          <w:sz w:val="17"/>
          <w:szCs w:val="17"/>
          <w:i w:val="1"/>
          <w:iCs w:val="1"/>
          <w:color w:val="auto"/>
        </w:rPr>
        <w:t xml:space="preserve"> Ark: Genesis </w:t>
      </w:r>
      <w:r>
        <w:rPr>
          <w:rFonts w:ascii="Arial" w:cs="Arial" w:eastAsia="Arial" w:hAnsi="Arial"/>
          <w:sz w:val="17"/>
          <w:szCs w:val="17"/>
          <w:color w:val="auto"/>
        </w:rPr>
        <w:t>is a DLC.</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we believe we have a significant opportunity to grow our user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our technology platform</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release content, market effectively through cross media and expand the gaming group</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relationship with developers, Studio Wildcard &amp; Suzhou Snail</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We have an exclusive license with Studio Wildcard for rights to </w:t>
      </w:r>
      <w:r>
        <w:rPr>
          <w:rFonts w:ascii="Arial" w:cs="Arial" w:eastAsia="Arial" w:hAnsi="Arial"/>
          <w:sz w:val="17"/>
          <w:szCs w:val="17"/>
          <w:i w:val="1"/>
          <w:iCs w:val="1"/>
          <w:color w:val="auto"/>
        </w:rPr>
        <w:t>ARK</w:t>
      </w:r>
      <w:r>
        <w:rPr>
          <w:rFonts w:ascii="Arial" w:cs="Arial" w:eastAsia="Arial" w:hAnsi="Arial"/>
          <w:sz w:val="17"/>
          <w:szCs w:val="17"/>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Relationship with third party distribution platforms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derive nearly all of our revenue from third-party distribution platforms, such as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b w:val="1"/>
          <w:bCs w:val="1"/>
          <w:color w:val="auto"/>
        </w:rPr>
        <w:t>Key Performance Metrics and Non-GAAP Measures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Units Sold</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r>
      <w:tr>
        <w:trPr>
          <w:trHeight w:val="241"/>
        </w:trPr>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Change</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Change</w:t>
            </w:r>
          </w:p>
        </w:tc>
      </w:tr>
      <w:tr>
        <w:trPr>
          <w:trHeight w:val="216"/>
        </w:trPr>
        <w:tc>
          <w:tcPr>
            <w:tcW w:w="14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20" w:type="dxa"/>
            <w:vAlign w:val="bottom"/>
            <w:gridSpan w:val="2"/>
            <w:shd w:val="clear" w:color="auto" w:fill="CCEEFF"/>
          </w:tcPr>
          <w:p>
            <w:pPr>
              <w:jc w:val="right"/>
              <w:ind w:right="1080"/>
              <w:spacing w:after="0" w:line="256" w:lineRule="exact"/>
              <w:rPr>
                <w:sz w:val="20"/>
                <w:szCs w:val="20"/>
                <w:color w:val="auto"/>
              </w:rPr>
            </w:pPr>
            <w:r>
              <w:rPr>
                <w:rFonts w:ascii="Arial" w:cs="Arial" w:eastAsia="Arial" w:hAnsi="Arial"/>
                <w:sz w:val="18"/>
                <w:szCs w:val="18"/>
                <w:color w:val="auto"/>
                <w:w w:val="87"/>
              </w:rPr>
              <w:t>Units Sold</w:t>
            </w:r>
            <w:r>
              <w:rPr>
                <w:rFonts w:ascii="Arial" w:cs="Arial" w:eastAsia="Arial" w:hAnsi="Arial"/>
                <w:sz w:val="29"/>
                <w:szCs w:val="29"/>
                <w:color w:val="auto"/>
                <w:w w:val="87"/>
                <w:vertAlign w:val="superscript"/>
              </w:rPr>
              <w:t>(1)</w:t>
            </w:r>
          </w:p>
        </w:tc>
        <w:tc>
          <w:tcPr>
            <w:tcW w:w="11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1.2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1.2</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Units Sold include master games, DLCs, season pass and bundles and excludes skins, soundtracks and other items.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Units Sold remained consistent in the three months ended September 30, 2023, as compared to the three month period ended September 30, 2022 where the Company sold 1.2 million units. The Company was able to maintain sales across fiscal years due to a sales promotion that was typically ran in the month of April by a significant platform partner of the Company, but in 2023 it did not begin until the end of June. Units Sold decreased by 0.3 million, or 6.9%, in the nine months ended September 30, 2023, as compared to the nine month period ended September 30, 2022, due to the anticipated release of </w:t>
      </w:r>
      <w:r>
        <w:rPr>
          <w:rFonts w:ascii="Arial" w:cs="Arial" w:eastAsia="Arial" w:hAnsi="Arial"/>
          <w:sz w:val="18"/>
          <w:szCs w:val="18"/>
          <w:i w:val="1"/>
          <w:iCs w:val="1"/>
          <w:color w:val="auto"/>
        </w:rPr>
        <w:t>ARK: Survival Ascended</w:t>
      </w:r>
      <w:r>
        <w:rPr>
          <w:rFonts w:ascii="Arial" w:cs="Arial" w:eastAsia="Arial" w:hAnsi="Arial"/>
          <w:sz w:val="18"/>
          <w:szCs w:val="18"/>
          <w:color w:val="auto"/>
        </w:rPr>
        <w: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Bookings &amp; EBITDA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our financial results determined in accordance with U.S. generally accepted accounting principles (“U.S. GAAP” or “GAAP”), we believe Bookings and EBITDA, as non-GAAP measures, are useful in evaluating our operating performance. Bookings and EBITDA, as used in this Quarterly Report on Form 10-Q, are non-GAAP financial measures that are presented as supplemental disclosures and should not be construed as alternatives to net income (loss) or revenue as indicators of operating performance, as determined in accordance with GAAP.</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supplementally present Bookings and EBITDA because they are key operating measures used by our management to assess our financial performance. Bookings adjusts for the impact of deferrals and, we believe, provides a useful indicator of sales in a given period.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total net revenue to Bookings, the closest GAAP financial measure.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324"/>
        <w:spacing w:after="0" w:line="277" w:lineRule="auto"/>
        <w:rPr>
          <w:sz w:val="20"/>
          <w:szCs w:val="20"/>
          <w:color w:val="auto"/>
        </w:rPr>
      </w:pPr>
      <w:r>
        <w:rPr>
          <w:rFonts w:ascii="Arial" w:cs="Arial" w:eastAsia="Arial" w:hAnsi="Arial"/>
          <w:sz w:val="18"/>
          <w:szCs w:val="18"/>
          <w:color w:val="auto"/>
        </w:rPr>
        <w:t>Bookings is defined as the net amount of products and services sold digitally or physically in the period. Bookings is equal to revenues excluding the impact from deferrals.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0"/>
          </w:tcPr>
          <w:p>
            <w:pPr>
              <w:ind w:left="580"/>
              <w:spacing w:after="0"/>
              <w:rPr>
                <w:sz w:val="20"/>
                <w:szCs w:val="20"/>
                <w:color w:val="auto"/>
              </w:rPr>
            </w:pPr>
            <w:r>
              <w:rPr>
                <w:rFonts w:ascii="Arial" w:cs="Arial" w:eastAsia="Arial" w:hAnsi="Arial"/>
                <w:sz w:val="18"/>
                <w:szCs w:val="18"/>
                <w:b w:val="1"/>
                <w:bCs w:val="1"/>
                <w:color w:val="auto"/>
                <w:w w:val="89"/>
              </w:rPr>
              <w:t>Three months ended September 30,</w:t>
            </w: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0"/>
          </w:tcPr>
          <w:p>
            <w:pPr>
              <w:ind w:left="560"/>
              <w:spacing w:after="0"/>
              <w:rPr>
                <w:sz w:val="20"/>
                <w:szCs w:val="20"/>
                <w:color w:val="auto"/>
              </w:rPr>
            </w:pPr>
            <w:r>
              <w:rPr>
                <w:rFonts w:ascii="Arial" w:cs="Arial" w:eastAsia="Arial" w:hAnsi="Arial"/>
                <w:sz w:val="18"/>
                <w:szCs w:val="18"/>
                <w:b w:val="1"/>
                <w:bCs w:val="1"/>
                <w:color w:val="auto"/>
                <w:w w:val="88"/>
              </w:rPr>
              <w:t>Nine months ended September 30,</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8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Change in deferred net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7"/>
                <w:szCs w:val="17"/>
                <w:color w:val="auto"/>
              </w:rPr>
            </w:pPr>
          </w:p>
        </w:tc>
        <w:tc>
          <w:tcPr>
            <w:tcW w:w="10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96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For the three months ended September 30, 2023, bookings decreased by $0.8 million, or 7.3%, compared to the three months ended September 30, 2022, primarily as a result of a decrease in </w:t>
      </w:r>
      <w:r>
        <w:rPr>
          <w:rFonts w:ascii="Arial" w:cs="Arial" w:eastAsia="Arial" w:hAnsi="Arial"/>
          <w:sz w:val="18"/>
          <w:szCs w:val="18"/>
          <w:i w:val="1"/>
          <w:iCs w:val="1"/>
          <w:color w:val="auto"/>
        </w:rPr>
        <w:t>ARK</w:t>
      </w:r>
      <w:r>
        <w:rPr>
          <w:rFonts w:ascii="Arial" w:cs="Arial" w:eastAsia="Arial" w:hAnsi="Arial"/>
          <w:sz w:val="18"/>
          <w:szCs w:val="18"/>
          <w:color w:val="auto"/>
        </w:rPr>
        <w:t xml:space="preserve"> revenues and in-game purchases which contributed to $2.0 million of the decrease, a decrease in the sales of the Company’s other games of $0.4 million during the three months ended September 30, 2023 and $4.0 million in deferred revenue recognized during the three months ended September 30, 2022 for obligations met during the period.</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For the nine months ended September 30, 2023, bookings decreased by $18.7 million, or 36.1%, compared to the nine months ended September 30, 2022, primarily as a result of decreased </w:t>
      </w:r>
      <w:r>
        <w:rPr>
          <w:rFonts w:ascii="Arial" w:cs="Arial" w:eastAsia="Arial" w:hAnsi="Arial"/>
          <w:sz w:val="16"/>
          <w:szCs w:val="16"/>
          <w:i w:val="1"/>
          <w:iCs w:val="1"/>
          <w:color w:val="auto"/>
        </w:rPr>
        <w:t>ARK</w:t>
      </w:r>
      <w:r>
        <w:rPr>
          <w:rFonts w:ascii="Arial" w:cs="Arial" w:eastAsia="Arial" w:hAnsi="Arial"/>
          <w:sz w:val="16"/>
          <w:szCs w:val="16"/>
          <w:color w:val="auto"/>
        </w:rPr>
        <w:t xml:space="preserve"> revenues in 2023 due to decreased average selling prices (“ASPs”) and in-game purchases which contributed to $10.3 million of the decrease, a decrease in the sales of the Company’s other games of $1.7 million and no one-time contract payments during the nine months ended September 30, 2023 while there was $8.5 million in one-time contract payments and $6.5 million in one-time deferred contract revenue recognized during the nine months ended September 30, 2022. These were partially offset by a decrease in the change in deferred revenue of $8.1 million.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Below is a reconciliation of net income (loss) to EBITDA, the closest GAAP financial measure. We define EBITDA as net income (loss) before (i) interest income, (ii) interest expense, (iii) provision for (benefit from) income taxes, and (iv) depreciation and amortization expense, of property and equipment.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0"/>
          </w:tcPr>
          <w:p>
            <w:pPr>
              <w:ind w:left="580"/>
              <w:spacing w:after="0"/>
              <w:rPr>
                <w:sz w:val="20"/>
                <w:szCs w:val="20"/>
                <w:color w:val="auto"/>
              </w:rPr>
            </w:pPr>
            <w:r>
              <w:rPr>
                <w:rFonts w:ascii="Arial" w:cs="Arial" w:eastAsia="Arial" w:hAnsi="Arial"/>
                <w:sz w:val="18"/>
                <w:szCs w:val="18"/>
                <w:b w:val="1"/>
                <w:bCs w:val="1"/>
                <w:color w:val="auto"/>
                <w:w w:val="89"/>
              </w:rPr>
              <w:t>Three months ended September 30,</w:t>
            </w: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0"/>
          </w:tcPr>
          <w:p>
            <w:pPr>
              <w:ind w:left="560"/>
              <w:spacing w:after="0"/>
              <w:rPr>
                <w:sz w:val="20"/>
                <w:szCs w:val="20"/>
                <w:color w:val="auto"/>
              </w:rPr>
            </w:pPr>
            <w:r>
              <w:rPr>
                <w:rFonts w:ascii="Arial" w:cs="Arial" w:eastAsia="Arial" w:hAnsi="Arial"/>
                <w:sz w:val="18"/>
                <w:szCs w:val="18"/>
                <w:b w:val="1"/>
                <w:bCs w:val="1"/>
                <w:color w:val="auto"/>
                <w:w w:val="88"/>
              </w:rPr>
              <w:t>Nine months ended September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Interest income and interest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income – related parties</w:t>
            </w:r>
          </w:p>
        </w:tc>
        <w:tc>
          <w:tcPr>
            <w:tcW w:w="14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and interest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expense – related parties</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(Benefit from) provision for</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-189.9%</w:t>
            </w:r>
          </w:p>
        </w:tc>
        <w:tc>
          <w:tcPr>
            <w:tcW w:w="16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expense, property and</w:t>
            </w:r>
          </w:p>
        </w:tc>
        <w:tc>
          <w:tcPr>
            <w:tcW w:w="14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101"/>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220"/>
              <w:spacing w:after="0" w:line="203" w:lineRule="exact"/>
              <w:rPr>
                <w:sz w:val="20"/>
                <w:szCs w:val="20"/>
                <w:color w:val="auto"/>
              </w:rPr>
            </w:pPr>
            <w:r>
              <w:rPr>
                <w:rFonts w:ascii="Arial" w:cs="Arial" w:eastAsia="Arial" w:hAnsi="Arial"/>
                <w:sz w:val="18"/>
                <w:szCs w:val="18"/>
                <w:color w:val="auto"/>
                <w:w w:val="86"/>
              </w:rPr>
              <w:t>-228.7</w:t>
            </w:r>
          </w:p>
        </w:tc>
        <w:tc>
          <w:tcPr>
            <w:tcW w:w="380" w:type="dxa"/>
            <w:vAlign w:val="bottom"/>
            <w:tcBorders>
              <w:top w:val="single" w:sz="8" w:color="CCEEFF"/>
            </w:tcBorders>
          </w:tcPr>
          <w:p>
            <w:pPr>
              <w:jc w:val="right"/>
              <w:ind w:right="130"/>
              <w:spacing w:after="0" w:line="203"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3</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-396.0</w:t>
            </w:r>
          </w:p>
        </w:tc>
        <w:tc>
          <w:tcPr>
            <w:tcW w:w="16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EBITDA decreased by $3.6 million, or 228.7%, due primarily to a reduction in net income of $2.9 million and a decrease in the income tax provision of $0.8 million during the three months ended September 30, 2023 as compared to three months ended September 30, 2022. During the nine months ended September 30, 2023, EBITDA decreased by $17.8 million, or 396.0%, due to a reduction in net income of $14.8 million and a decrease in the income tax provision of $3.8 million; which was partially offset by a decrease in interest income and interest income - related parties of $0.5 million as compared to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254"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We record deferred revenue when payments are due or received in advance of the fulfillment of our associated performance obligations.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net revenues through our top four platform providers as a proportion of our total net revenue for the three and nine months ended September 30, 2023 and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ind w:left="540"/>
              <w:spacing w:after="0"/>
              <w:rPr>
                <w:sz w:val="20"/>
                <w:szCs w:val="20"/>
                <w:color w:val="auto"/>
              </w:rPr>
            </w:pPr>
            <w:r>
              <w:rPr>
                <w:rFonts w:ascii="Arial" w:cs="Arial" w:eastAsia="Arial" w:hAnsi="Arial"/>
                <w:sz w:val="18"/>
                <w:szCs w:val="18"/>
                <w:b w:val="1"/>
                <w:bCs w:val="1"/>
                <w:color w:val="auto"/>
                <w:w w:val="89"/>
              </w:rPr>
              <w:t>Three months ended September 30,</w:t>
            </w:r>
          </w:p>
        </w:tc>
        <w:tc>
          <w:tcPr>
            <w:tcW w:w="6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0"/>
          </w:tcPr>
          <w:p>
            <w:pPr>
              <w:ind w:left="580"/>
              <w:spacing w:after="0"/>
              <w:rPr>
                <w:sz w:val="20"/>
                <w:szCs w:val="20"/>
                <w:color w:val="auto"/>
              </w:rPr>
            </w:pPr>
            <w:r>
              <w:rPr>
                <w:rFonts w:ascii="Arial" w:cs="Arial" w:eastAsia="Arial" w:hAnsi="Arial"/>
                <w:sz w:val="18"/>
                <w:szCs w:val="18"/>
                <w:b w:val="1"/>
                <w:bCs w:val="1"/>
                <w:color w:val="auto"/>
                <w:w w:val="88"/>
              </w:rPr>
              <w:t>Nine months ended September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84"/>
              </w:rPr>
              <w:t>Change</w:t>
            </w: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7"/>
              </w:rPr>
              <w:t>Change</w:t>
            </w:r>
          </w:p>
        </w:tc>
      </w:tr>
      <w:tr>
        <w:trPr>
          <w:trHeight w:val="216"/>
        </w:trPr>
        <w:tc>
          <w:tcPr>
            <w:tcW w:w="2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Platform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Platform 2</w:t>
            </w:r>
          </w:p>
        </w:tc>
        <w:tc>
          <w:tcPr>
            <w:tcW w:w="1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-64.5%</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Platform 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Platform 4</w:t>
            </w:r>
          </w:p>
        </w:tc>
        <w:tc>
          <w:tcPr>
            <w:tcW w:w="1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138.9%</w:t>
            </w:r>
          </w:p>
        </w:tc>
      </w:tr>
      <w:tr>
        <w:trPr>
          <w:trHeight w:val="23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All Other Revenue</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r>
      <w:tr>
        <w:trPr>
          <w:trHeight w:val="203"/>
        </w:trPr>
        <w:tc>
          <w:tcPr>
            <w:tcW w:w="2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ind w:left="420"/>
              <w:spacing w:after="0" w:line="203" w:lineRule="exact"/>
              <w:rPr>
                <w:sz w:val="20"/>
                <w:szCs w:val="20"/>
                <w:color w:val="auto"/>
              </w:rPr>
            </w:pPr>
            <w:r>
              <w:rPr>
                <w:rFonts w:ascii="Arial" w:cs="Arial" w:eastAsia="Arial" w:hAnsi="Arial"/>
                <w:sz w:val="18"/>
                <w:szCs w:val="18"/>
                <w:b w:val="1"/>
                <w:bCs w:val="1"/>
                <w:color w:val="auto"/>
                <w:w w:val="79"/>
              </w:rPr>
              <w:t>9.0</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15.6</w:t>
            </w: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(6.6</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-42.5</w:t>
            </w:r>
          </w:p>
        </w:tc>
        <w:tc>
          <w:tcPr>
            <w:tcW w:w="400" w:type="dxa"/>
            <w:vAlign w:val="bottom"/>
            <w:tcBorders>
              <w:top w:val="single" w:sz="8" w:color="CCEEFF"/>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32.3</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59.2</w:t>
            </w: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-45.3</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expect changes in revenue to correlate with trends in the use and purchase of our games. The decrease in net revenues of Platform 1 and Platform 3 during the three month periods ended September 30, 2023 and 2022 was due to the decreased ASP of the </w:t>
      </w:r>
      <w:r>
        <w:rPr>
          <w:rFonts w:ascii="Arial" w:cs="Arial" w:eastAsia="Arial" w:hAnsi="Arial"/>
          <w:sz w:val="18"/>
          <w:szCs w:val="18"/>
          <w:i w:val="1"/>
          <w:iCs w:val="1"/>
          <w:color w:val="auto"/>
        </w:rPr>
        <w:t>ARK 1</w:t>
      </w:r>
      <w:r>
        <w:rPr>
          <w:rFonts w:ascii="Arial" w:cs="Arial" w:eastAsia="Arial" w:hAnsi="Arial"/>
          <w:sz w:val="18"/>
          <w:szCs w:val="18"/>
          <w:color w:val="auto"/>
        </w:rPr>
        <w:t xml:space="preserve"> franchise in the 2023 period. The increase in net revenues of Platform 4 was due to the remastered version of </w:t>
      </w:r>
      <w:r>
        <w:rPr>
          <w:rFonts w:ascii="Arial" w:cs="Arial" w:eastAsia="Arial" w:hAnsi="Arial"/>
          <w:sz w:val="18"/>
          <w:szCs w:val="18"/>
          <w:i w:val="1"/>
          <w:iCs w:val="1"/>
          <w:color w:val="auto"/>
        </w:rPr>
        <w:t>ARK 1</w:t>
      </w:r>
      <w:r>
        <w:rPr>
          <w:rFonts w:ascii="Arial" w:cs="Arial" w:eastAsia="Arial" w:hAnsi="Arial"/>
          <w:sz w:val="18"/>
          <w:szCs w:val="18"/>
          <w:color w:val="auto"/>
        </w:rPr>
        <w:t xml:space="preserve"> being released in the first quarter of 2023 and the increase in net revenue in Platform 2 is due to the free download promotions occurring in the six months prior to the three month period ended September 30, 2022 resulting in many end users opting to obtain the title during the free download promotion.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decrease in net revenues of Platform 1 during the nine month period ended September 30, 2023 and 2022 was due to the decreased ASP of the </w:t>
      </w:r>
      <w:r>
        <w:rPr>
          <w:rFonts w:ascii="Arial" w:cs="Arial" w:eastAsia="Arial" w:hAnsi="Arial"/>
          <w:sz w:val="17"/>
          <w:szCs w:val="17"/>
          <w:i w:val="1"/>
          <w:iCs w:val="1"/>
          <w:color w:val="auto"/>
        </w:rPr>
        <w:t xml:space="preserve">ARK 1 </w:t>
      </w:r>
      <w:r>
        <w:rPr>
          <w:rFonts w:ascii="Arial" w:cs="Arial" w:eastAsia="Arial" w:hAnsi="Arial"/>
          <w:sz w:val="17"/>
          <w:szCs w:val="17"/>
          <w:color w:val="auto"/>
        </w:rPr>
        <w:t>franchise in the 2023 period. The decrease in net revenues of Platform 2 and Platform 3 were due to one off payments and deferred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recognized in the 2022 period, in addition to reduced ASP’s. The increase in net revenues of Platform 4 was due to the release of a remastered and upgraded version of </w:t>
      </w:r>
      <w:r>
        <w:rPr>
          <w:rFonts w:ascii="Arial" w:cs="Arial" w:eastAsia="Arial" w:hAnsi="Arial"/>
          <w:sz w:val="17"/>
          <w:szCs w:val="17"/>
          <w:i w:val="1"/>
          <w:iCs w:val="1"/>
          <w:color w:val="auto"/>
        </w:rPr>
        <w:t>ARK 1</w:t>
      </w:r>
      <w:r>
        <w:rPr>
          <w:rFonts w:ascii="Arial" w:cs="Arial" w:eastAsia="Arial" w:hAnsi="Arial"/>
          <w:sz w:val="17"/>
          <w:szCs w:val="17"/>
          <w:color w:val="auto"/>
        </w:rPr>
        <w:t xml:space="preserve"> on the platform during the nine month period ended September 30,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unaudited condensed consolidated financial statements. We generally expect cost of revenues to fluctuate proportionately with revenues.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expenses include rent expense, salaries, stock-based compensation, legal and professional expenses, internet and server expenses, contractor costs, insurance expenses, licenses and permits, other taxes and travel expenses. We expect salaries and wages to increase in a manner that is proportional with the added expenses and expertise of operating as a public company. We also expect salaries and wages to increase as we increase headcount as we expand our product offerings. Future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consists primarily of consulting expenses and salaries and wages devoted towards the development of new games and related technologies.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b w:val="1"/>
          <w:bCs w:val="1"/>
          <w:i w:val="1"/>
          <w:iCs w:val="1"/>
          <w:color w:val="auto"/>
        </w:rPr>
        <w:t>Advertising and marketing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interest incurred under our term loans, 2021 Revolving Loan, promissory notes and the amortization of debt discounts. We expect to continue to incur interest expense under our debt instruments, although with respect to certain instruments, our interest expense will fluctuate based upon the underlying variable interest rates.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(benefit from)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21% did not differ from the federal rate of 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versus the three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310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0"/>
              </w:rPr>
              <w:t>Change</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(in millions)</w:t>
            </w: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(6.6)</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860" w:type="dxa"/>
            <w:vAlign w:val="bottom"/>
          </w:tcPr>
          <w:p>
            <w:pPr>
              <w:spacing w:after="0"/>
              <w:rPr>
                <w:sz w:val="19"/>
                <w:szCs w:val="19"/>
                <w:color w:val="auto"/>
              </w:rPr>
            </w:pPr>
          </w:p>
        </w:tc>
        <w:tc>
          <w:tcPr>
            <w:tcW w:w="560" w:type="dxa"/>
            <w:vAlign w:val="bottom"/>
            <w:gridSpan w:val="2"/>
          </w:tcPr>
          <w:p>
            <w:pPr>
              <w:jc w:val="right"/>
              <w:ind w:right="12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(2.9)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(23.8)%</w:t>
            </w:r>
          </w:p>
        </w:tc>
      </w:tr>
      <w:tr>
        <w:trPr>
          <w:trHeight w:val="23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03"/>
        </w:trPr>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560" w:type="dxa"/>
            <w:vAlign w:val="bottom"/>
            <w:gridSpan w:val="2"/>
          </w:tcPr>
          <w:p>
            <w:pPr>
              <w:jc w:val="right"/>
              <w:ind w:right="12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1.2</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1,029.6%</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gridSpan w:val="2"/>
          </w:tcPr>
          <w:p>
            <w:pPr>
              <w:jc w:val="right"/>
              <w:ind w:right="12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(12.2)%</w:t>
            </w:r>
          </w:p>
        </w:tc>
      </w:tr>
      <w:tr>
        <w:trPr>
          <w:trHeight w:val="23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860" w:type="dxa"/>
            <w:vAlign w:val="bottom"/>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(5.6</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7"/>
                <w:szCs w:val="17"/>
                <w:color w:val="auto"/>
              </w:rPr>
            </w:pPr>
          </w:p>
        </w:tc>
        <w:tc>
          <w:tcPr>
            <w:tcW w:w="860" w:type="dxa"/>
            <w:vAlign w:val="bottom"/>
          </w:tcPr>
          <w:p>
            <w:pPr>
              <w:jc w:val="right"/>
              <w:ind w:right="670"/>
              <w:spacing w:after="0" w:line="203"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jc w:val="right"/>
              <w:ind w:right="201"/>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(3.9</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(222.1</w:t>
            </w:r>
          </w:p>
        </w:tc>
        <w:tc>
          <w:tcPr>
            <w:tcW w:w="2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w w:val="99"/>
              </w:rPr>
              <w:t>)%</w:t>
            </w:r>
          </w:p>
        </w:tc>
      </w:tr>
      <w:tr>
        <w:trPr>
          <w:trHeight w:val="20"/>
        </w:trPr>
        <w:tc>
          <w:tcPr>
            <w:tcW w:w="5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Net revenues for the three months ended September 30, 2023 decreased by $6.6 million, or 42.5%, compared to the three months ended September 30, 2022. The decrease in net revenues was due to a one time contract revenue payment recognized from deferred revenue for a free week promotion in the amount of $4.0 million that occurred in the three months ended September 2022 but not in 2023 and a decrease in sales of </w:t>
      </w:r>
      <w:r>
        <w:rPr>
          <w:rFonts w:ascii="Arial" w:cs="Arial" w:eastAsia="Arial" w:hAnsi="Arial"/>
          <w:sz w:val="16"/>
          <w:szCs w:val="16"/>
          <w:i w:val="1"/>
          <w:iCs w:val="1"/>
          <w:color w:val="auto"/>
        </w:rPr>
        <w:t>ARK,</w:t>
      </w:r>
      <w:r>
        <w:rPr>
          <w:rFonts w:ascii="Arial" w:cs="Arial" w:eastAsia="Arial" w:hAnsi="Arial"/>
          <w:sz w:val="16"/>
          <w:szCs w:val="16"/>
          <w:color w:val="auto"/>
        </w:rPr>
        <w:t xml:space="preserve"> due to lower ASP’s</w:t>
      </w:r>
      <w:r>
        <w:rPr>
          <w:rFonts w:ascii="Arial" w:cs="Arial" w:eastAsia="Arial" w:hAnsi="Arial"/>
          <w:sz w:val="16"/>
          <w:szCs w:val="16"/>
          <w:i w:val="1"/>
          <w:iCs w:val="1"/>
          <w:color w:val="auto"/>
        </w:rPr>
        <w:t>. ARK</w:t>
      </w:r>
      <w:r>
        <w:rPr>
          <w:rFonts w:ascii="Arial" w:cs="Arial" w:eastAsia="Arial" w:hAnsi="Arial"/>
          <w:sz w:val="16"/>
          <w:szCs w:val="16"/>
          <w:color w:val="auto"/>
        </w:rPr>
        <w:t xml:space="preserve"> sales and in-game purchases decreased by $2.0 million. Sales of the Company’s smaller titles decreased by a collective $0.4 million.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revenues for the three months ended September 30, 2023 decreased by $2.9 million, or 23.8%, compared to the three months ended September 30,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color w:val="auto"/>
        </w:rPr>
        <w:t>Cost of revenues for the three months ended September 30, 2023 and 2022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310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8"/>
              </w:rPr>
              <w:t>$ Change</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jc w:val="right"/>
              <w:ind w:right="1161"/>
              <w:spacing w:after="0"/>
              <w:rPr>
                <w:sz w:val="20"/>
                <w:szCs w:val="20"/>
                <w:color w:val="auto"/>
              </w:rPr>
            </w:pPr>
            <w:r>
              <w:rPr>
                <w:rFonts w:ascii="Arial" w:cs="Arial" w:eastAsia="Arial" w:hAnsi="Arial"/>
                <w:sz w:val="18"/>
                <w:szCs w:val="18"/>
                <w:b w:val="1"/>
                <w:bCs w:val="1"/>
                <w:color w:val="auto"/>
                <w:w w:val="96"/>
              </w:rPr>
              <w:t>(in millions)</w:t>
            </w: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 royalties - related parties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Software license royalties</w:t>
            </w: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0.4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License and amortization - related parties</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Merchant fees</w:t>
            </w: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(0.4)</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(64.2)%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Engine fees</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Internet, server and data center</w:t>
            </w: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0.3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19.3%</w:t>
            </w:r>
          </w:p>
        </w:tc>
      </w:tr>
      <w:tr>
        <w:trPr>
          <w:trHeight w:val="23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advertising revenue</w:t>
            </w:r>
          </w:p>
        </w:tc>
        <w:tc>
          <w:tcPr>
            <w:tcW w:w="8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r>
      <w:tr>
        <w:trPr>
          <w:trHeight w:val="203"/>
        </w:trPr>
        <w:tc>
          <w:tcPr>
            <w:tcW w:w="5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9.5</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jc w:val="right"/>
              <w:ind w:right="670"/>
              <w:spacing w:after="0" w:line="203" w:lineRule="exact"/>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12.4</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(23.8</w:t>
            </w:r>
          </w:p>
        </w:tc>
        <w:tc>
          <w:tcPr>
            <w:tcW w:w="2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r>
      <w:tr>
        <w:trPr>
          <w:trHeight w:val="20"/>
        </w:trPr>
        <w:tc>
          <w:tcPr>
            <w:tcW w:w="5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The decrease in cost of revenues for the three months ended September 30, 2023 was due to a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related royalties of $1.0 million, a decrease in merchant fees of $0.4 million, commensurate with the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sales, and a decrease in engine fees of $0.1 million. The Company also reported a decrease in license and amortization cost of $1.7 million due to a lower amortizable base that is the result of the age of certain licenses. These were offset by increased internet, server and data center costs of $0.3 million, primarily driven by increased server hosting rates.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for the three months ended September 30, 2023 decreased by $1.0 million, or 22.9%. The decrease in general and administrative expenses was primarily due to a decrease in legal and professional expenses of $1.0 million, a decrease in salaries and wages of $0.2 million and a decrease in internet and administrative server costs of $0.2 million, offset by increased public company expenses of $0.1 million and increased insurance expenses of $0.2 million during the three months ended September 30,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Research and development expenses for the three months ended September 30, 2023 increased by $1.2 million, or 1,029.6%. The increase in research and development expenses was primarily due to increases in personnel advancing the development of the Company’s </w:t>
      </w:r>
      <w:r>
        <w:rPr>
          <w:rFonts w:ascii="Arial" w:cs="Arial" w:eastAsia="Arial" w:hAnsi="Arial"/>
          <w:sz w:val="18"/>
          <w:szCs w:val="18"/>
          <w:i w:val="1"/>
          <w:iCs w:val="1"/>
          <w:color w:val="auto"/>
        </w:rPr>
        <w:t>Atlas, Last Oasis</w:t>
      </w:r>
      <w:r>
        <w:rPr>
          <w:rFonts w:ascii="Arial" w:cs="Arial" w:eastAsia="Arial" w:hAnsi="Arial"/>
          <w:sz w:val="18"/>
          <w:szCs w:val="18"/>
          <w:color w:val="auto"/>
        </w:rPr>
        <w:t xml:space="preserve"> and </w:t>
      </w:r>
      <w:r>
        <w:rPr>
          <w:rFonts w:ascii="Arial" w:cs="Arial" w:eastAsia="Arial" w:hAnsi="Arial"/>
          <w:sz w:val="18"/>
          <w:szCs w:val="18"/>
          <w:i w:val="1"/>
          <w:iCs w:val="1"/>
          <w:color w:val="auto"/>
        </w:rPr>
        <w:t>Agartha</w:t>
      </w:r>
      <w:r>
        <w:rPr>
          <w:rFonts w:ascii="Arial" w:cs="Arial" w:eastAsia="Arial" w:hAnsi="Arial"/>
          <w:sz w:val="18"/>
          <w:szCs w:val="18"/>
          <w:color w:val="auto"/>
        </w:rPr>
        <w:t xml:space="preserve"> and future titles, in addition to the salaries of personnel developing future titles under the Company’s subsidiary, Donkey Crew, LLC, during the three months ended September 30,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Other Factors Affecting Net Income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200" w:type="dxa"/>
            <w:vAlign w:val="bottom"/>
          </w:tcPr>
          <w:p>
            <w:pPr>
              <w:spacing w:after="0"/>
              <w:rPr>
                <w:sz w:val="24"/>
                <w:szCs w:val="24"/>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Three months ended September 30,</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w w:val="98"/>
              </w:rPr>
              <w:t>$ Change</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(in millions)</w:t>
            </w: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1,505.9%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is primarily related to our outstanding indebtedness with third-party lenders. Interest expense increased by $0.1 million for the three months ended September 30, 2023 as a result of rising interest charges on the Company’s floating rate debt and amortization of debt discounts which did not occur in the 2022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was $0.3 million, and $0.0 million for the three months ended September 30, 2023 and 2022, respectively. The increase was due to a litigation settlement.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an income tax benefit of $1.2 million and $0.4 million for the three months ended September 30, 2023 and 2022, respectively, representing a decrease of $0.8 million. Our effective income tax rate was 21% for both of the three month periods ended September 30, 2023 and 2022,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8440" w:type="dxa"/>
            <w:vAlign w:val="bottom"/>
            <w:gridSpan w:val="9"/>
          </w:tcPr>
          <w:p>
            <w:pPr>
              <w:ind w:left="340"/>
              <w:spacing w:after="0"/>
              <w:rPr>
                <w:sz w:val="20"/>
                <w:szCs w:val="20"/>
                <w:color w:val="auto"/>
              </w:rPr>
            </w:pPr>
            <w:r>
              <w:rPr>
                <w:rFonts w:ascii="Arial" w:cs="Arial" w:eastAsia="Arial" w:hAnsi="Arial"/>
                <w:sz w:val="18"/>
                <w:szCs w:val="18"/>
                <w:b w:val="1"/>
                <w:bCs w:val="1"/>
                <w:i w:val="1"/>
                <w:iCs w:val="1"/>
                <w:color w:val="auto"/>
                <w:w w:val="85"/>
              </w:rPr>
              <w:t>Comparison of the nine months ended September 30, 2023 versus the nine months ended September 30, 2022</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120" w:type="dxa"/>
            <w:vAlign w:val="bottom"/>
          </w:tcPr>
          <w:p>
            <w:pPr>
              <w:spacing w:after="0"/>
              <w:rPr>
                <w:sz w:val="24"/>
                <w:szCs w:val="24"/>
                <w:color w:val="auto"/>
              </w:rPr>
            </w:pPr>
          </w:p>
        </w:tc>
        <w:tc>
          <w:tcPr>
            <w:tcW w:w="24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Nine months ended</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0"/>
              </w:rPr>
              <w:t>September 30,</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1"/>
              </w:rPr>
              <w:t>$ Change</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jc w:val="right"/>
              <w:ind w:right="1161"/>
              <w:spacing w:after="0"/>
              <w:rPr>
                <w:sz w:val="20"/>
                <w:szCs w:val="20"/>
                <w:color w:val="auto"/>
              </w:rPr>
            </w:pPr>
            <w:r>
              <w:rPr>
                <w:rFonts w:ascii="Arial" w:cs="Arial" w:eastAsia="Arial" w:hAnsi="Arial"/>
                <w:sz w:val="18"/>
                <w:szCs w:val="18"/>
                <w:b w:val="1"/>
                <w:bCs w:val="1"/>
                <w:color w:val="auto"/>
                <w:w w:val="96"/>
              </w:rPr>
              <w:t>(in millions)</w:t>
            </w: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32.3</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(26.8)</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800" w:type="dxa"/>
            <w:vAlign w:val="bottom"/>
          </w:tcPr>
          <w:p>
            <w:pPr>
              <w:spacing w:after="0"/>
              <w:rPr>
                <w:sz w:val="19"/>
                <w:szCs w:val="19"/>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(10.7)</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(26.6)%</w:t>
            </w:r>
          </w:p>
        </w:tc>
      </w:tr>
      <w:tr>
        <w:trPr>
          <w:trHeight w:val="23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03"/>
        </w:trPr>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3.4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711.5%</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(0.1)</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r>
      <w:tr>
        <w:trPr>
          <w:trHeight w:val="23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(Loss) income from operations</w:t>
            </w:r>
          </w:p>
        </w:tc>
        <w:tc>
          <w:tcPr>
            <w:tcW w:w="800" w:type="dxa"/>
            <w:vAlign w:val="bottom"/>
          </w:tcPr>
          <w:p>
            <w:pPr>
              <w:jc w:val="right"/>
              <w:ind w:right="638"/>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7"/>
              </w:rPr>
              <w:t>(14.0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7"/>
                <w:szCs w:val="17"/>
                <w:color w:val="auto"/>
              </w:rPr>
            </w:pPr>
          </w:p>
        </w:tc>
        <w:tc>
          <w:tcPr>
            <w:tcW w:w="860" w:type="dxa"/>
            <w:vAlign w:val="bottom"/>
          </w:tcPr>
          <w:p>
            <w:pPr>
              <w:jc w:val="right"/>
              <w:ind w:right="670"/>
              <w:spacing w:after="0" w:line="203"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(17.7</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(475.0</w:t>
            </w:r>
          </w:p>
        </w:tc>
        <w:tc>
          <w:tcPr>
            <w:tcW w:w="2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w w:val="99"/>
              </w:rPr>
              <w:t>)%</w:t>
            </w:r>
          </w:p>
        </w:tc>
      </w:tr>
      <w:tr>
        <w:trPr>
          <w:trHeight w:val="20"/>
        </w:trPr>
        <w:tc>
          <w:tcPr>
            <w:tcW w:w="5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Net revenues for the nine months ended September 30, 2023 decreased by $26.8 million, or 45.3%, compared to the nine months ended September 30, 2022. The decrease in net revenues was due to a decrease in sales of </w:t>
      </w:r>
      <w:r>
        <w:rPr>
          <w:rFonts w:ascii="Arial" w:cs="Arial" w:eastAsia="Arial" w:hAnsi="Arial"/>
          <w:sz w:val="18"/>
          <w:szCs w:val="18"/>
          <w:i w:val="1"/>
          <w:iCs w:val="1"/>
          <w:color w:val="auto"/>
        </w:rPr>
        <w:t>ARK,</w:t>
      </w:r>
      <w:r>
        <w:rPr>
          <w:rFonts w:ascii="Arial" w:cs="Arial" w:eastAsia="Arial" w:hAnsi="Arial"/>
          <w:sz w:val="18"/>
          <w:szCs w:val="18"/>
          <w:color w:val="auto"/>
        </w:rPr>
        <w:t xml:space="preserve"> a result of lower ASP’s as unit sales decreased by approximately 6.2%</w:t>
      </w:r>
      <w:r>
        <w:rPr>
          <w:rFonts w:ascii="Arial" w:cs="Arial" w:eastAsia="Arial" w:hAnsi="Arial"/>
          <w:sz w:val="18"/>
          <w:szCs w:val="18"/>
          <w:i w:val="1"/>
          <w:iCs w:val="1"/>
          <w:color w:val="auto"/>
        </w:rPr>
        <w:t>,</w:t>
      </w:r>
      <w:r>
        <w:rPr>
          <w:rFonts w:ascii="Arial" w:cs="Arial" w:eastAsia="Arial" w:hAnsi="Arial"/>
          <w:sz w:val="18"/>
          <w:szCs w:val="18"/>
          <w:color w:val="auto"/>
        </w:rPr>
        <w:t xml:space="preserve"> additional deferred revenue and one-time payments related to contracts with certain platforms. </w:t>
      </w:r>
      <w:r>
        <w:rPr>
          <w:rFonts w:ascii="Arial" w:cs="Arial" w:eastAsia="Arial" w:hAnsi="Arial"/>
          <w:sz w:val="18"/>
          <w:szCs w:val="18"/>
          <w:i w:val="1"/>
          <w:iCs w:val="1"/>
          <w:color w:val="auto"/>
        </w:rPr>
        <w:t>ARK</w:t>
      </w:r>
      <w:r>
        <w:rPr>
          <w:rFonts w:ascii="Arial" w:cs="Arial" w:eastAsia="Arial" w:hAnsi="Arial"/>
          <w:sz w:val="18"/>
          <w:szCs w:val="18"/>
          <w:color w:val="auto"/>
        </w:rPr>
        <w:t xml:space="preserve"> sales and in game purchases decreased by $10.3 million, deferred revenue from contracts decreased by $6.5 million, and one-off payments decreased by $8.5 million. Sales of the smaller titles decreased by a collective $1.7 million. These decreases in the Company’s smaller titles were partially offset by an increase of $0.2 million in revenue related to </w:t>
      </w:r>
      <w:r>
        <w:rPr>
          <w:rFonts w:ascii="Arial" w:cs="Arial" w:eastAsia="Arial" w:hAnsi="Arial"/>
          <w:sz w:val="18"/>
          <w:szCs w:val="18"/>
          <w:i w:val="1"/>
          <w:iCs w:val="1"/>
          <w:color w:val="auto"/>
        </w:rPr>
        <w:t>West</w:t>
      </w:r>
      <w:r>
        <w:rPr>
          <w:rFonts w:ascii="Arial" w:cs="Arial" w:eastAsia="Arial" w:hAnsi="Arial"/>
          <w:sz w:val="18"/>
          <w:szCs w:val="18"/>
          <w:color w:val="auto"/>
        </w:rPr>
        <w:t xml:space="preserve"> </w:t>
      </w:r>
      <w:r>
        <w:rPr>
          <w:rFonts w:ascii="Arial" w:cs="Arial" w:eastAsia="Arial" w:hAnsi="Arial"/>
          <w:sz w:val="18"/>
          <w:szCs w:val="18"/>
          <w:i w:val="1"/>
          <w:iCs w:val="1"/>
          <w:color w:val="auto"/>
        </w:rPr>
        <w:t>Hunt</w:t>
      </w:r>
      <w:r>
        <w:rPr>
          <w:rFonts w:ascii="Arial" w:cs="Arial" w:eastAsia="Arial" w:hAnsi="Arial"/>
          <w:sz w:val="18"/>
          <w:szCs w:val="18"/>
          <w:color w:val="auto"/>
        </w:rPr>
        <w: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revenues for the nine months ended September 30, 2023 decreased by $10.7 million, or 26.6%, compared to the nine months ended September 30,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revenues for the nine months ended September 30, 2023 and 2022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4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Nine months ended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1"/>
        </w:trPr>
        <w:tc>
          <w:tcPr>
            <w:tcW w:w="5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0"/>
              </w:rPr>
              <w:t>September 30,</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8"/>
              </w:rPr>
              <w:t>$ Change</w:t>
            </w:r>
          </w:p>
        </w:tc>
        <w:tc>
          <w:tcPr>
            <w:tcW w:w="14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jc w:val="right"/>
              <w:ind w:right="1161"/>
              <w:spacing w:after="0"/>
              <w:rPr>
                <w:sz w:val="20"/>
                <w:szCs w:val="20"/>
                <w:color w:val="auto"/>
              </w:rPr>
            </w:pPr>
            <w:r>
              <w:rPr>
                <w:rFonts w:ascii="Arial" w:cs="Arial" w:eastAsia="Arial" w:hAnsi="Arial"/>
                <w:sz w:val="18"/>
                <w:szCs w:val="18"/>
                <w:b w:val="1"/>
                <w:bCs w:val="1"/>
                <w:color w:val="auto"/>
                <w:w w:val="96"/>
              </w:rPr>
              <w:t>(in millions)</w:t>
            </w: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 royalties – related parties</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0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Software license royalties</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1,983.2%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License and amortization – related parties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License and amortization</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Merchant fees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Engine fees</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Internet, server and data center</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Costs related to advertising revenues</w:t>
            </w: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5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The decrease in cost of revenues for the nine months ended September 30, 2023 was due to a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related royalties of $5.5 million, a decrease in merchant fees of $0.9 million, commensurate with the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sales, and a decrease in engine fees of $0.6 million. The Company also reported a decrease in license and amortization cost of $4.6 million due to a lower amortizable base that is the result of the age of certain licenses. These decreases were partially offset by an increase in internet, server and data center costs of $0.9 million, driven by increased server hosting costs.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for the nine months ended September 30, 2023 decreased by $1.6 million, or 11.9%. The decrease in general and administrative expenses was primarily due to a decrease in legal and professional expenses of $2.3 million, a decrease in salaries and wages of $0.3 million, a decrease in internet and administrative server costs of $0.3 and a decrease in contractor related costs of $0.2 million. These decreases were partially offset by increased public company expenses of $0.8 million and an increase in insurance related expenses of $0.6 million during the nine months ended September 30,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for the nine months ended September 30, 2023 increased by $3.4 million, or 711.5%. The increase in research and development expenses was primarily due to additional development of the Company’s </w:t>
      </w:r>
      <w:r>
        <w:rPr>
          <w:rFonts w:ascii="Arial" w:cs="Arial" w:eastAsia="Arial" w:hAnsi="Arial"/>
          <w:sz w:val="18"/>
          <w:szCs w:val="18"/>
          <w:i w:val="1"/>
          <w:iCs w:val="1"/>
          <w:color w:val="auto"/>
        </w:rPr>
        <w:t>ARK 1, Atlas, Last Oasis</w:t>
      </w:r>
      <w:r>
        <w:rPr>
          <w:rFonts w:ascii="Arial" w:cs="Arial" w:eastAsia="Arial" w:hAnsi="Arial"/>
          <w:sz w:val="18"/>
          <w:szCs w:val="18"/>
          <w:color w:val="auto"/>
        </w:rPr>
        <w:t xml:space="preserve"> and </w:t>
      </w:r>
      <w:r>
        <w:rPr>
          <w:rFonts w:ascii="Arial" w:cs="Arial" w:eastAsia="Arial" w:hAnsi="Arial"/>
          <w:sz w:val="18"/>
          <w:szCs w:val="18"/>
          <w:i w:val="1"/>
          <w:iCs w:val="1"/>
          <w:color w:val="auto"/>
        </w:rPr>
        <w:t>Agartha</w:t>
      </w:r>
      <w:r>
        <w:rPr>
          <w:rFonts w:ascii="Arial" w:cs="Arial" w:eastAsia="Arial" w:hAnsi="Arial"/>
          <w:sz w:val="18"/>
          <w:szCs w:val="18"/>
          <w:color w:val="auto"/>
        </w:rPr>
        <w:t xml:space="preserve"> titles during the nine months ended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Net Income</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5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4"/>
              </w:rPr>
              <w:t>(in millions)</w:t>
            </w:r>
          </w:p>
        </w:tc>
        <w:tc>
          <w:tcPr>
            <w:tcW w:w="9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related parties</w:t>
            </w:r>
          </w:p>
        </w:tc>
        <w:tc>
          <w:tcPr>
            <w:tcW w:w="860" w:type="dxa"/>
            <w:vAlign w:val="bottom"/>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7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86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7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(479.0)%</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income — related parties was $0.0 million, and $0.6 million for the nine months ended September 30, 2023 and 2022, respectively. The decrease was due to the distribution of the Shi Loan to Suzhou Snail in April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Interest expense is primarily related to our outstanding indebtedness with third-party lenders. Interest expense increased by $0.4 million for the nine months ended September 30, 2023 as a result of increased interest charges on the Company’s floating rate debts and the short-term note issued in January 2022 and the amortization of the discount on the Company’s convertible notes.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was $0.3 million, and $0.3 million for the nine months ended September 30, 2023 and 2022,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an income tax benefit of ($3.0) million for the nine months ended September 30, 2023 and a provision for income taxes of $0.8 million for the nine months ended September 30, 2022 representing a decrease of $3.8 million. Our effective income tax rate was 21% and 20% for the nine months ended September 30, 2023 and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sources of liquidity are the cash flows generated from our operations and increased financing activities in the period ended September 30, 2023, that are currently available unrestricted cash. Our unrestricted cash was $4.9 million and $12.9 million as of September 30, 2023 and December 31, 2022, respectively.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restricted cash and cash equivalents were $1.1 million and $6.4 million as of September 30, 2023 and December 31, 2022, respectively. Our restricted cash primarily consists of time deposits and is used as security for certain of our debt instruments and to secure standby letters of credit with certain of our landlords.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September 30, 2023, our 2021 Revolving Loan and 2022 Short Term Note of $6.0 million and $2.1 million are due in December 2023 and January 2024, respectively. On August 24, 2023, the Company issued convertible notes at a 7.4% discount and a principal balance of $1,080,000. The notes have an interest rate of 7.5%, will be paid in consecutive monthly installments beginning February 24, 2024 and if the note is not converted, it will mature on May 24, 2024. We intend to renegotiate with the lender to extend the maturity dates of the 2021 Revolving Loan and the 2022 Short Term Note. However, there is no guarantee that we will be able to renegotiate the terms of the 2021 Revolving Loan or the 2022 Short Term Note with the lender at terms acceptable to us or at all. Additionally, we plan to repay the outstanding amounts under the 2022 Short Term Note pursuant to the terms of the 2022 Short Term Note agreement. Currently, we expect that we will not be in compliance with its quarterly debt covenant for the three months ending December 31, 2023. We are working with the lender to resolve the expected non-compliance with the debt covenant.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051" w:gutter="0" w:footer="0" w:header="0"/>
        </w:sectPr>
      </w:pPr>
    </w:p>
    <w:bookmarkStart w:id="46" w:name="page47"/>
    <w:bookmarkEnd w:id="46"/>
    <w:p>
      <w:pPr>
        <w:jc w:val="both"/>
        <w:ind w:firstLine="324"/>
        <w:spacing w:after="0" w:line="253" w:lineRule="auto"/>
        <w:rPr>
          <w:sz w:val="20"/>
          <w:szCs w:val="20"/>
          <w:color w:val="auto"/>
        </w:rPr>
      </w:pPr>
      <w:r>
        <w:rPr>
          <w:rFonts w:ascii="Arial" w:cs="Arial" w:eastAsia="Arial" w:hAnsi="Arial"/>
          <w:sz w:val="18"/>
          <w:szCs w:val="18"/>
          <w:color w:val="auto"/>
        </w:rPr>
        <w:t>The Company raised additional capital during the three months ended September 30, 2023 in the form of the convertible notes, short term financing arrangement with the Company’s IDC vendor,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recent net loss, level of cash used in operations, debt obligations coming due in less than 12 months, potential need for additional capital, and the uncertainties surrounding our ability to raise additional capital and renegotiate our debt arrangements raise substantial doubt about our ability to continue as a going concern. The unaudited condensed consolidated financial statements do not include any adjustments that might be necessary if we are unable to continue as a going concern.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for us to continue operations beyond the next 12 months and be able to discharge our liabilities and commitments in the normal course of business, we must re-establish profitable operations in order to generate cash from operations by increasing revenue or controlling or potentially reducing expenses, renegotiate the terms of its debt arrangements, or obtain additional funds when needed. Our current goal is to improve our financial condition and ultimately improve our financial results by increasing revenues through increased sales of existing DLCs and game titles, launches of new DLCs and game titles and reduced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a summary of our cash flows for the periods indicated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Change</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(10.8)</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flows provided by investing activities</w:t>
            </w:r>
          </w:p>
        </w:tc>
        <w:tc>
          <w:tcPr>
            <w:tcW w:w="8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Net decrease in cash and cash equivalents and restricted cash and</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40" w:type="dxa"/>
            <w:vAlign w:val="bottom"/>
            <w:vMerge w:val="continue"/>
          </w:tcPr>
          <w:p>
            <w:pPr>
              <w:spacing w:after="0"/>
              <w:rPr>
                <w:sz w:val="15"/>
                <w:szCs w:val="15"/>
                <w:color w:val="auto"/>
              </w:rPr>
            </w:pPr>
          </w:p>
        </w:tc>
        <w:tc>
          <w:tcPr>
            <w:tcW w:w="820" w:type="dxa"/>
            <w:vAlign w:val="bottom"/>
            <w:vMerge w:val="restart"/>
          </w:tcPr>
          <w:p>
            <w:pPr>
              <w:jc w:val="right"/>
              <w:ind w:right="658"/>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3"/>
              </w:rPr>
              <w:t>(13.2)</w:t>
            </w:r>
          </w:p>
        </w:tc>
        <w:tc>
          <w:tcPr>
            <w:tcW w:w="1000" w:type="dxa"/>
            <w:vAlign w:val="bottom"/>
            <w:gridSpan w:val="2"/>
            <w:vMerge w:val="restart"/>
          </w:tcPr>
          <w:p>
            <w:pPr>
              <w:jc w:val="right"/>
              <w:ind w:right="78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(12.1)</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cash equivalents</w:t>
            </w:r>
          </w:p>
        </w:tc>
        <w:tc>
          <w:tcPr>
            <w:tcW w:w="8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flows provided by operating activities for the nine months ended September 30, 2023 decreased $10.1 million as compared to the nine months ended September 30, 2022, which resulted primarily from a period-over-period decrease in net income of $14.8 million and a decrease of $6.1 million in non-cash reconciling items, a decrease in accounts payable and accounts payable – related party of a $0.9 million, a $1.4 million decrease in net accounts receivable and accounts receivable – related party, offset by a $9.3 million increase from changes in deferred revenues, an increase of $0.3 million in accrued expenses and a decrease in the cash flows from prepaid expenses and other current assets of $3.6 million.</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loss was $11.5 million for the nine months ended September 30, 2023 as compared to a net income of $3.3 million for the nine months ended September 30, 2022, representing a decrease of $14.8 million. The decrease was primarily due to a decrease in revenue of $26.8 million, an increase in research and development expense of $3.4 million, a net decrease in interest income – related party of $0.6 million, an increase in interest expense of $0.4 million, an increase of $0.8 million in internet server and data center costs; offset by a decrease in royalties of $5.5 million, a decrease in license cost and license right amortization of $4.5 million, a decrease in merchant and engine fees of $1.4 million, a decrease in general and administrative expenses of $1.6 million, and a decrease in the Company’s tax provision of $3.8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ind w:firstLine="324"/>
        <w:spacing w:after="0" w:line="257" w:lineRule="auto"/>
        <w:rPr>
          <w:sz w:val="20"/>
          <w:szCs w:val="20"/>
          <w:color w:val="auto"/>
        </w:rPr>
      </w:pPr>
      <w:r>
        <w:rPr>
          <w:rFonts w:ascii="Arial" w:cs="Arial" w:eastAsia="Arial" w:hAnsi="Arial"/>
          <w:sz w:val="18"/>
          <w:szCs w:val="18"/>
          <w:color w:val="auto"/>
        </w:rPr>
        <w:t>Non-cash reconciling items were ($0.7) million and $5.4 million for the nine months ended September 30, 2023 and 2022, respectively, representing a decrease of $6.1 million. The decrease in the non-cash reconciling items was primarily due to a decrease of $4.4 million in amortization, an increase in deferred taxes of $3.1 million, partially offset by decrease in the interest income from shareholder loan of $0.5 million, an increase in stock based compensation of $0.6 million and a decrease in gains recognized of $0.3 million for the lease termination and paycheck protection program loan forgiveness.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increase in our net operating assets and liabilities between the nine months ended September 30, 2023 and 2022 of $10.7 million was primarily the result of a net increase in prepaid expenses — related party and prepaid expenses and other current assets of $3.5 million primarily driven by timing of payments of federal and state taxes, the litigation receivable and DLC development costs and an increase in accrued expenses of $0.3 million, an increase in deferred revenue of $9.3 million, partially offset by a decrease in accounts payable and accounts payable — related party of $0.9 million resulting from decreased vendor accruals near the end of the period and lower royalties payable due to lower revenues, net decrease in accounts receivable and accounts receivable — related party of $1.4 million due to timing of receipts and payments from customers and a related party.</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accounts receivable — related party represent revenues attributable to certain mobile games that, for administrative reasons, were collected on our behalf by SDE Inc. (“SDE”), an affiliated entity. SDE no longer collects such payments on our behalf; all such payments are received directly from the platforms through which we offer the relevant games. As of September 30, 2023 and December 31, 2022, the net outstanding balances of receivables due from SDE were $11.5 million and $11.3 million, respectively. We expect accounts receivables owed to us by SDE will be repaid within a commercially reasonable period of time. In the event we do not receive timely remittance from SDE, we may hold back amounts owed to SDE from future licensing costs payable to SDE pursuant to our existing contractual relationship. See Note 5 — </w:t>
      </w:r>
      <w:r>
        <w:rPr>
          <w:rFonts w:ascii="Arial" w:cs="Arial" w:eastAsia="Arial" w:hAnsi="Arial"/>
          <w:sz w:val="18"/>
          <w:szCs w:val="18"/>
          <w:i w:val="1"/>
          <w:iCs w:val="1"/>
          <w:color w:val="auto"/>
        </w:rPr>
        <w:t>Accounts Receivable — Related Party</w:t>
      </w:r>
      <w:r>
        <w:rPr>
          <w:rFonts w:ascii="Arial" w:cs="Arial" w:eastAsia="Arial" w:hAnsi="Arial"/>
          <w:sz w:val="18"/>
          <w:szCs w:val="18"/>
          <w:color w:val="auto"/>
        </w:rPr>
        <w:t xml:space="preserve"> to our condensed consolidated financial statements included in this Quarterly Report.</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by investing activities for the nine months ended September 30, 2023 decreased $1.2 million compared to the nine months ended September 30, 2022 due to receipt by the Company of $1.5 million on the Pound Sand note, partially offset by the repayments of a $0.3 million related party loan in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flows used in financing activities for the nine months ended September 30, 2023 were $2.4 million compared to net cash flows used in financing activities of $1.6 million for the nine months ended September 30, 2022. Financing activities for the nine months ended September 30, 2023 included repayments of $3.8 million on a short term note, repayment of $3.0 million on the revolving loan, the purchases of treasury stock in the amount of $0.3 million, payments of offering costs included in the Company’s payables of $0.3 million, partially offset by borrowings under a note payable of $2.3 million, proceeds received for the issuance of convertible debt of $0.9 million and the refund of a $1.9 million dividend withholding payment. Financing activities for the nine months ended September 30, 2022 included $10.0 million of borrowings under our term loan, which was offset by repayments on our short term note in the amount of $3.3 million and a cash dividend declared and paid of $8.2 million.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Registered Offerings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2022, we filed a Form S-1 Registration Statement with the SEC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is held to provide a source of funding for our indemnification obligations to the underwriters. The amount in escrow will be reported as a restricted escrow deposit for 12 months from the date of the IPO, at which time the restrictions will be removed and the balance will be reverted to unrestricted cash.</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October 2023, we filed a Form S-1 Registration Statement with the SEC in connection with our issuance of convertible note, an equity line of credit and warrants related to each financing as noted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fund our operations from our net cash flows provided by operating activities. In addition to these cash flows, we have entered into certain debt arrangements to provide additional liquidity and to finance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i w:val="1"/>
          <w:iCs w:val="1"/>
          <w:color w:val="auto"/>
        </w:rPr>
        <w:t>Revolving Loan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matures on December 31, 2023 and bears interest at a rate equal to the prime rate less 0.25%. Interest is due and payable under the 2021 Revolving Loan on a monthly basis. The 2021 Revolving Loan was partially secured by the certificate of deposit accounts held with the financial institution, and reported as restricted cash, in the amounts of $5.3 million as of December 31, 2022. In June 2023, the Company amended its revolving loan and the certificate of deposit accounts securing the loan were released. As September 30, 2023, we had borrowings of $6.0 million outstanding under our 2021 Revolving Loan. We intend to extend the 2021 Revolving Loan prior to its maturity date. There is no guarantee that we will be able to extend the 2021 Revolving Loan on terms acceptable to us in the future, or at all.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 The Term Loan replaced and refinanced a previously outstanding $3.0 million promissory note due September 2021.</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is equal to the higher of 5.75% and the Wall Street Journal prime rate plus 0.50%. The 2022 Short Term Note is secured and collateralized by our existing assets. As of September 30, 2023, we had borrowings of $2.1 million outstanding under the 2022 Short Term Note.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August 24, 2023, the Company issued convertible notes at a 7.4% discount and a principal balance of $1,080,000. The notes have an interest rate of 7.5%, will be paid in consecutive monthly installments beginning February 24, 2024 and will mature on May 24, 2024. In the event of a default the interest rate will be increased to the lower of 16% per annum or the highest amount permitted by applicable law. The Company has the option to prepay the notes at any time and the note holders have the option to convert the notes, in whole or in part, any time after November 24, 2023. The difference of $525,754 between the proceeds allocated to the Convertible Notes and the aggregate principal amount will be accreted over the life of the notes. Additionally, $152,000 of transaction costs incurred by the Company were recorded as a debt discount. The discount is amortized using the effective interest rate of 109.7%. As of September 30, 2023, we had borrowings of $1,080,000, net of a $564,783 discount under the Convertible Notes. The Company has registered shares for potential issuance on exercise of the warrants, or conversion of the note, on Form S-1 that was declared effective on October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 Purchase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2023 Note Payable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July 2023, the Company entered into a cooperation agreement with its IDC vendor. The Company agreed to make the vendor the official server host of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and future iterations and sequels of the game for a period of 7 years. In return, the vendor has agreed to provide the Company with funds in cash of up to $3.0 million without discount and free of charges and costs to the Company. The funds are to be repaid in monthly installments starting in November 2023 and are to be based on 20% of the gross monthly Ark Survival revenues. The Company has imputed interest at 8.0% on draws made. As of September 30, 2023, we had borrowings of $2.3 million outstanding under the Note Payable.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2021 Revolving Loan, Term Loan and the 2022 Short Term Note require us to maintain a minimum debt service coverage ratio of 1.5 to 1.0. We were in compliance with, or had waivers for, all covenants under our debt facilities as of September 30, 2023.</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regarding our indebtedness, see Note 15 — </w:t>
      </w:r>
      <w:r>
        <w:rPr>
          <w:rFonts w:ascii="Arial" w:cs="Arial" w:eastAsia="Arial" w:hAnsi="Arial"/>
          <w:sz w:val="18"/>
          <w:szCs w:val="18"/>
          <w:i w:val="1"/>
          <w:iCs w:val="1"/>
          <w:color w:val="auto"/>
        </w:rPr>
        <w:t>Revolving Loan, Short Term Note and Long-Term Debt</w:t>
      </w:r>
      <w:r>
        <w:rPr>
          <w:rFonts w:ascii="Arial" w:cs="Arial" w:eastAsia="Arial" w:hAnsi="Arial"/>
          <w:sz w:val="18"/>
          <w:szCs w:val="18"/>
          <w:color w:val="auto"/>
        </w:rPr>
        <w:t xml:space="preserve"> to our unaudited condensed consolidated financial statements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Arial" w:cs="Arial" w:eastAsia="Arial" w:hAnsi="Arial"/>
          <w:sz w:val="17"/>
          <w:szCs w:val="17"/>
          <w:i w:val="1"/>
          <w:iCs w:val="1"/>
          <w:color w:val="auto"/>
        </w:rPr>
        <w:t xml:space="preserve">Summary of Significant Accounting Policies </w:t>
      </w:r>
      <w:r>
        <w:rPr>
          <w:rFonts w:ascii="Arial" w:cs="Arial" w:eastAsia="Arial" w:hAnsi="Arial"/>
          <w:sz w:val="17"/>
          <w:szCs w:val="17"/>
          <w:color w:val="auto"/>
        </w:rPr>
        <w:t>to our unaudited condensed consolidated financial statements included in this Quarterly Report.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following critical accounting policies and estimates have the greatest potential impact on our unaudited condensed consolidated financial statements.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publishing and development business requires significant investments in intangible assets such as licensing rights. The carrying values of these intangibles are periodically reviewed and adjusted, as appropriate, based on estimates of their useful lives, futures cash flows and fair values. Estimates of futures cash flows may vary from period to period depending on market factors such as media and gaming trends and current sales trends. If these estimates result in a reduction in cash flows the Company may recognize an impairment loss on the intangible asset. The Company did not have any material changes in these estimates during the nine months ended September 30, 2023 but believe it is reasonably possible that changes may occur in future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recognizes, defers, and classifies the timing of deferred revenues from the sale of its products based on the release date, technical support obligations and timing of its performance obligations. The technical support obligations are estimated based on our estimated service period, as determined below. These estimates will vary by platform and could change from period to period depending on user trends. An increase in use estimate could result in a reclassification of deferred revenues from short term to long term and extend the period over which we would recognize said revenue resulting in a lower net income in future periods. Changes in estimates of our release schedule may also affect the classification of short and long term deferred revenues and the rate at which deferred revenue is recognized, which could have a material impact on the Company’s condensed consolidated financial statements.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Service Period</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this provides a reasonable depiction of the use of games by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virtual goods are generally approximately 30 to 100 days.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recognizes deferred income taxes based on estimates of future taxable income and the utilization of tax loss carryforwards. Changes in tax laws or the level of future taxable income could affect the realizability of deferred income tax assets. The Company’s deferred income tax assets reflect the net tax effects of temporary differences between the carrying amounts of assets and liabilities for financial reporting purposes and the amounts used for income tax purposes. The Company’s estimates of deferred income taxes are based on its assessment of the likelihood of realizing the benefits of the tax assets and are reviewed annually. Changes in these estimates may have a material impact on the Company’s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in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324"/>
        <w:spacing w:after="0" w:line="275" w:lineRule="auto"/>
        <w:rPr>
          <w:sz w:val="20"/>
          <w:szCs w:val="20"/>
          <w:color w:val="auto"/>
        </w:rPr>
      </w:pPr>
      <w:r>
        <w:rPr>
          <w:rFonts w:ascii="Arial" w:cs="Arial" w:eastAsia="Arial" w:hAnsi="Arial"/>
          <w:sz w:val="17"/>
          <w:szCs w:val="17"/>
          <w:color w:val="auto"/>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“smaller reporting company” as defined by Item 10 of Regulation S-K, the Company is not required to provide the information required by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the Chief Executive Officer and the Chief Financial Officer, as appropriate, to allow timely decisions regarding required disclosure.</w:t>
      </w:r>
    </w:p>
    <w:p>
      <w:pPr>
        <w:spacing w:after="0" w:line="15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September 30, 2023.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involving failure to properly design and implement controls related to the accounting for income taxes and equity, failure to design and implement sufficient disclosure controls related to certain items in the statement of cash flows, and failure to properly classify certain operating expenses and game server costs as cost of revenues in the consolidated financial statements and deferred taxes in the consolidated footnotes. We have enhanced our financial reporting close control procedures and intend to hire additional personnel with a depth of knowledge and experience to join our accounting and finance organization in order to remediate this material weakness. During the process for preparing the unaudited condensed consolidated financial statements for the nine months ended September 30, 2023, we identified a previously undisclosed related party transaction involving an affiliate of Mr. Hai Shi, our Founder, Chairman, and Chief Strategy Officer. The previously undisclosed related party transaction was a commercial real property lease that was executed by Snail Games USA Inc., our principal operating subsidiary, but was utilized and paid for by an affiliated entity controlled by Mr. Shi. We evaluated the impact of including the previously unreported right of use asset and lease liability related to this lease on our historical consolidated financial statements and concluded it did not have a material impact on our previously filed financial statements. Accordingly, we corrected the reporting in the unaudited condensed consolidated financial statements for the nine months ended September 30, 2023. However, the lack of effective control over the identification of related party transactions gives rise to a material weakness in our internal control over financial reporting. We are in the process of remediating this internal control weakness by inquiring of all executive management and board of directors of any contracts entered into on behalf of the Company, or its subsidiaries, on a quarterly basis. Further, the Company reviews any unusual and recurring significant payments for related contracts. See Part II Item 1A “Risk Factors — General Risk Factors — We identified material weaknesses in our internal control over financial reporting and we may identify additional material weaknesses in the future that may cause us to fail to meet our reporting obligations or result in material misstatements of our financial statements. During the quarter ended September 30, 2023, the Company failed to identify and allocate the consideration received from a settlement between the settlement gain and revenue generating activities. The lack of effective control over the identification and accounting for this significant and unusual transaction give rise to a material weakness in our internal control over financial reporting. We are in the process of evaluating our remediation plan for significant and unusual transactions. If we do not effectively remediate the material weaknesses or if we otherwise fail to maintain effective internal control over financial reporting, we may not be able to accurately and timely report our financial results.”</w:t>
      </w:r>
    </w:p>
    <w:p>
      <w:pPr>
        <w:spacing w:after="0" w:line="3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the material weakness, we performed additional analyses and reconciliations to determine that our unaudited condensed consolidated financial statements are prepared in accordance with U.S. GAAP. Accordingly, the Chief Executive Officer and Chief Financial Officer concluded that the unaudited condensed consolidated financial statements included in this Quarterly Report fairly present in all material respects our financial condition, results of operations and cash flows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three months ended September 30, 2023, we have identified a material weakness as described above. We have made changes in our internal control over financial reporting (as defined in Rules 13a-15(f) and 15d-15(f) under the Exchange Act) which have materially affected, or are reasonably likely to materially affect, our internal control over financial reporting. These changes include, but are not limited to, the implementation of additional reviews over income tax disclosures, equity related disclosures, certain items in the statements of cash flows, and classifications of operating expenses; and additional inquiries of executive management and board members of any contracts entered during each reporting period on behalf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686"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See Item 1 of Part I, “Unaudited Condensed Consolidated Financial Statements — Note 18 </w:t>
      </w:r>
      <w:r>
        <w:rPr>
          <w:rFonts w:ascii="Arial" w:cs="Arial" w:eastAsia="Arial" w:hAnsi="Arial"/>
          <w:sz w:val="17"/>
          <w:szCs w:val="17"/>
          <w:i w:val="1"/>
          <w:iCs w:val="1"/>
          <w:color w:val="auto"/>
        </w:rPr>
        <w:t>Commitments and Contingencies — Litigation.”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Investing in our securities involves a high degree of risk. Before making an investment decision, you should carefully consider the risk factors described under “Item 1A Risk Factors” in our Annual Report on Form 10-K, and any other periodic or current report filed with the SEC, together with all of the related financial statements and notes thereto. We have not identified any material changes to the risk factors previously disclosed in Part I – Item 1A – “Risk Factors” in our Annual Report on Form 10-K for the year ended December 31, 2022 other than as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our recent net loss, negative cash flow from operations, and significant revolving and term debt coming due in less than 12 months, there is substantial doubt about our ability to continue as a going concern.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nine months ended September 30, 2023, we incurred a net loss of $11.5 million and had a negative cash flow from operations of $10.8 million. Our 2021 Revolving Loan and 2022 Short Term Note of $6.0 million and $2.1 million are due in December 2023 and January 2024, respectively. We intend to renegotiate with the lender to extend the maturity date of the 2021 Revolving Loan. However, there is no guarantee that we will be able to renegotiate the terms of the 2021 Revolving Loan with the lender at terms acceptable to us or at all. Additionally, we plan to repay the outstanding amounts under the 2022 Short Term Note pursuant to the terms of the 2022 Short Term Note agreement and to renew the debt arrangement. On August 24, 2023, the Company issued convertible notes at a 7.4% discount and a principal balance of $1,080,000. The notes have an interest rate of 7.5%, will be paid in consecutive monthly installments beginning February 24, 2024 and if the note is not converted, it will mature on May 24, 2024.</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need to raise additional capital.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324"/>
        <w:spacing w:after="0" w:line="269" w:lineRule="auto"/>
        <w:rPr>
          <w:sz w:val="20"/>
          <w:szCs w:val="20"/>
          <w:color w:val="auto"/>
        </w:rPr>
      </w:pPr>
      <w:r>
        <w:rPr>
          <w:rFonts w:ascii="Arial" w:cs="Arial" w:eastAsia="Arial" w:hAnsi="Arial"/>
          <w:sz w:val="17"/>
          <w:szCs w:val="17"/>
          <w:color w:val="auto"/>
        </w:rPr>
        <w:t>Our recent net loss, level of cash used in operations, debt obligations coming due in less than 12 months, potential need for additional capital, and the uncertainties surrounding our ability to raise additional capital and renegotiate our debt arrangements raise substantial doubt about our ability to continue as a going concern. For us to continue operations beyond the next 12 months and be able to discharge our liabilities and commitments in the normal course of business, we must re-establish profitable operations, renegotiate the terms of our debt arrangements or raise additional capital when needed. Our current goal is to improve our financial condition and ultimately improve our financial results by increasing revenues through increased sales of existing DLCs and game titles, launches of new DLCs and game titles and reduced expenses. However, if we are unable to do so on a timely basis, we will be required to seek additional sources of capital, including, but not limited to, equity and/or debt financings. There is no guarantee that we will be able to obtain additional capital on terms acceptable to us, if at all. If we are unable to renegotiate the terms of our debt arrangements, raise additional capital or re-establish profitable operations, we will be unable to continue to fund our operations, develop new gaming content, realize value from our assets or discharge our liabilities in the normal course of business. If we are unable to continue as a going concern, we could be required to liquidate our assets, and potentially realize significantly less than the values at which our assets are carried on our unaudited condensed consolidated financial statements, and our stockholders could lose all or part of their investment in our common stock.</w:t>
      </w:r>
    </w:p>
    <w:p>
      <w:pPr>
        <w:spacing w:after="0" w:line="1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unaudited condensed consolidated financial statements for the nine months ended September 30, 2023 were prepared on a going concern basis in accordance with GAAP. The going concern basis assumes that we will continue in operation for the next 12 months and will be able to realize our assets and discharge our liabilities and commitments in the normal course of business. Thus, our unaudited condensed consolidated financial statements included in this Quarterly Report do not include any adjustments that might be necessary if we are unable to continue as a going concern.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ARK </w:t>
      </w:r>
      <w:r>
        <w:rPr>
          <w:rFonts w:ascii="Arial" w:cs="Arial" w:eastAsia="Arial" w:hAnsi="Arial"/>
          <w:sz w:val="16"/>
          <w:szCs w:val="16"/>
          <w:color w:val="auto"/>
        </w:rPr>
        <w:t>is a “hit” product and has historically accounted for a substantial portion of our revenue. The</w:t>
      </w:r>
      <w:r>
        <w:rPr>
          <w:rFonts w:ascii="Arial" w:cs="Arial" w:eastAsia="Arial" w:hAnsi="Arial"/>
          <w:sz w:val="16"/>
          <w:szCs w:val="16"/>
          <w:i w:val="1"/>
          <w:iCs w:val="1"/>
          <w:color w:val="auto"/>
        </w:rPr>
        <w:t xml:space="preserve"> ARK </w:t>
      </w:r>
      <w:r>
        <w:rPr>
          <w:rFonts w:ascii="Arial" w:cs="Arial" w:eastAsia="Arial" w:hAnsi="Arial"/>
          <w:sz w:val="16"/>
          <w:szCs w:val="16"/>
          <w:color w:val="auto"/>
        </w:rPr>
        <w:t>franchise contributed 86.9% of our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the nine months ended September 30, 2023, and our five best-selling franchises (including </w:t>
      </w:r>
      <w:r>
        <w:rPr>
          <w:rFonts w:ascii="Arial" w:cs="Arial" w:eastAsia="Arial" w:hAnsi="Arial"/>
          <w:sz w:val="16"/>
          <w:szCs w:val="16"/>
          <w:i w:val="1"/>
          <w:iCs w:val="1"/>
          <w:color w:val="auto"/>
        </w:rPr>
        <w:t>ARK</w:t>
      </w:r>
      <w:r>
        <w:rPr>
          <w:rFonts w:ascii="Arial" w:cs="Arial" w:eastAsia="Arial" w:hAnsi="Arial"/>
          <w:sz w:val="16"/>
          <w:szCs w:val="16"/>
          <w:color w:val="auto"/>
        </w:rPr>
        <w:t>), which may change year over year, in the aggregate accounted for 92.6% of our net revenue for the nine months ended September 30, 2023.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from SDE, the parent company of Studio Wildcard, which is also an entity that is owned and controlled by the spouse of our Founder, Chief Strategy Officer and Chairman, Mr. Shi. We entered into an original exclusive software license agreement with SDE in November 2015, for the rights to </w:t>
      </w:r>
      <w:r>
        <w:rPr>
          <w:rFonts w:ascii="Arial" w:cs="Arial" w:eastAsia="Arial" w:hAnsi="Arial"/>
          <w:sz w:val="17"/>
          <w:szCs w:val="17"/>
          <w:i w:val="1"/>
          <w:iCs w:val="1"/>
          <w:color w:val="auto"/>
        </w:rPr>
        <w:t>ARK: Survival Evolved</w:t>
      </w:r>
      <w:r>
        <w:rPr>
          <w:rFonts w:ascii="Arial" w:cs="Arial" w:eastAsia="Arial" w:hAnsi="Arial"/>
          <w:sz w:val="17"/>
          <w:szCs w:val="17"/>
          <w:color w:val="auto"/>
        </w:rPr>
        <w:t>, and subsequently entered into the amended and restated ARK1 License Agreement. In December 2022, we amended the ARK1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contributed 86.9% of our net revenue for the nine months ended September 30, 2023.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324"/>
        <w:spacing w:after="0" w:line="268" w:lineRule="auto"/>
        <w:rPr>
          <w:sz w:val="20"/>
          <w:szCs w:val="20"/>
          <w:color w:val="auto"/>
        </w:rPr>
      </w:pPr>
      <w:r>
        <w:rPr>
          <w:rFonts w:ascii="Arial" w:cs="Arial" w:eastAsia="Arial" w:hAnsi="Arial"/>
          <w:sz w:val="17"/>
          <w:szCs w:val="17"/>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games are primarily purchased, accessed and operated through Xbox Live and Game Pass, PlayStation Network, Steam, Epic Games Store, and in the case of our mobile games, the Apple App Store, the Google Play Store and the Amazon Appstore. Substantially all of the games, DLC and in-game virtual items that we sell are purchased using the payment processing systems of these platforms and, for the nine months ended September 30, 2023, 89.7% of our revenues were generated through Xbox Live and Game Pass, PlayStation Network, Steam, Epic Games Store, the Apple App Store, the Google Play Store, My Nintendo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18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 providers discontinue or limit our access to their platforms;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increase charges or restrict or prohibit access to those platforms;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platforms increase the fees they charge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platforms modify their algorithms, communication channels available to developers, respective terms of service or other policies;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platforms decline in popularity;</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platforms elect or are required to change how they label free-to-play games or take payment for in-game purchases;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platforms block or limit access to the genres of games that we provide in any jurisdiction;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 experiences a bankruptcy or other form of insolvency event;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unable to comply with the platform providers’ terms of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324"/>
        <w:spacing w:after="0" w:line="253" w:lineRule="auto"/>
        <w:rPr>
          <w:sz w:val="20"/>
          <w:szCs w:val="20"/>
          <w:color w:val="auto"/>
        </w:rPr>
      </w:pPr>
      <w:r>
        <w:rPr>
          <w:rFonts w:ascii="Arial" w:cs="Arial" w:eastAsia="Arial" w:hAnsi="Arial"/>
          <w:sz w:val="18"/>
          <w:szCs w:val="18"/>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9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89.7% of our net revenue by product platform for the nine months ended September 30, 2023. The success of our business is subject to the continued popularity of these platforms and our ability to develop commercially successful products for these platforms.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law or tax rate changes could affect our effective tax rate and future profitability.</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effective tax rate was 21% for the nine month period ended September 30, 2023 and 20% for the nine month period ended September 30, 2022.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The Company has debt obligations with short term durations that are coming due within one year.</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have significant debt obligations coming due within one year. Our current revolving loan has a balance of $6.0 million as of September 30, 2023, and is due for repayment on December 31, 2023. Our short-term note has a balance of $2.1 million as of September 30, 2023, and has even monthly debt service payments until the loan is fully repaid in January 2024. On August 24, 2023, the Company issued convertible notes at a 7.4% discount and a principal balance of $1,080,000. The notes have an interest rate of 7.5%, will be paid in consecutive monthly installments beginning February 24, 2024 and if the note is not converted, it will mature on May 24, 2024. The Company intends to extend the revolving loan and renew the short-term note debt arrangement and faces the risk that we will be unable to. If we are unable to extend the revolving loan or renew the debt arrangement, the Company may have significantly reduced unrestricted and restricted cash which could adversely impact our results of operations and ability to invest in the development and acquisition of IP. See Note 15 – </w:t>
      </w:r>
      <w:r>
        <w:rPr>
          <w:rFonts w:ascii="Arial" w:cs="Arial" w:eastAsia="Arial" w:hAnsi="Arial"/>
          <w:sz w:val="17"/>
          <w:szCs w:val="17"/>
          <w:i w:val="1"/>
          <w:iCs w:val="1"/>
          <w:color w:val="auto"/>
        </w:rPr>
        <w:t>Revolving Loan, Short Term Note and Long-Term Debt</w:t>
      </w:r>
      <w:r>
        <w:rPr>
          <w:rFonts w:ascii="Arial" w:cs="Arial" w:eastAsia="Arial" w:hAnsi="Arial"/>
          <w:sz w:val="17"/>
          <w:szCs w:val="17"/>
          <w:color w:val="auto"/>
        </w:rPr>
        <w:t xml:space="preserve"> to our unaudited condensed consolidated financial statements included in this Quarterly Report.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Hua Yuan International Limited, a minority stockholder, is indirectly controlled by China-Singapore Suzhou Industrial Park Ventures Co., Ltd., a Chinese state-owned entity, which could subject us to risks involving U.S. -China relations and related risks.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Hua Yuan International Limited, which beneficially owned 8.7% of our common stock and controlled 1.1% of our voting power during the nine month period ended September 30, 2023, is indirectly controlled by China-Singapore Suzhou Industrial Park Ventures Co., Ltd., a Chinese state-owned entity. Recent political and economic tensions between the United States and China have negatively impacted certain public companies with stockholders that are Chinese state-owned entities. For example, in May 2021, three telecommunications companies with controlling stockholders that are Chinese state-owned entities — China Mobile Limited, China Unicom and China Telecom Corp., Ltd. — announced they would be delisted by the New York Stock Exchange pursuant to U.S. investment restrictions enacted in 2020. In addition, the Holding Foreign Companies Accountable Act, enacted in December 2020, requires SEC registrants to disclose whether an issuer is owned or controlled by a governmental entity in a foreign jurisdiction that does not allow inspection by the Public Group Accounting Oversight Board, principally including issuers based in China.</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Hua Yuan International Limited does not own a controlling interest in us, its investment may subject us to risks related to having an indirect principal stockholder that is a Chinese state-owned entity as well as risks arising from political and economic tensions between the United States and China generally.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future. This could cause the market price of our Class A common stock to decline, even if our business is doing well.</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Sales of a substantial number of shares of our Class A common stock in the public market could occur at any time. These sales, or the perception in the market that the holders of a large number of shares intend to sell their shares, could result in a decrease in the market price of our Class A common stock. As of September 30, 2023, we had 36,649,725 shares of common stock outstanding. This includes 35,000,000 shares that are currently restricted as a result of securities laws but will be able to be sold as described in the section entitled “Shares Eligible for Future Sale” of our Prospectus as filed by us with the SEC on November 10, 2022 pursuant to Rule 424(b)(4) under the Securities Act, relating to our registration statement on Form S-1, as amended. We have also registered, and we intend to continue to register, all shares of common stock that we may issue under our equity compensation plans. Once we register these shares, they can be freely sold in the public market, subject to volume limitations applicable to affiliates.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September 30, 2023,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324"/>
        <w:spacing w:after="0" w:line="253" w:lineRule="auto"/>
        <w:rPr>
          <w:sz w:val="20"/>
          <w:szCs w:val="20"/>
          <w:color w:val="auto"/>
        </w:rPr>
      </w:pPr>
      <w:r>
        <w:rPr>
          <w:rFonts w:ascii="Arial" w:cs="Arial" w:eastAsia="Arial" w:hAnsi="Arial"/>
          <w:sz w:val="18"/>
          <w:szCs w:val="18"/>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identified a material weakness in our internal control over financial reporting involving lack of sufficient financial reporting close controls, including certain disclosure controls, and a material weakness in our internal control over financial reporting involving lack of effective control over the identification of related party transactions, identify and allocate the significant and unusual consideration received from a settlement between the settlement gain and revenue generating activities as of September 30, 2023. See Item 4, “Controls and Procedures,” in this Quarterly Report for information regarding the identified material weaknesses and our actions to date to remediate the material weaknesses. As a result of the material weaknesses, our management has concluded that our internal control over financial reporting were not effective as of September 30, 2023.</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taking steps to remediate the material weakness, which include enhancing control procedures, hiring personnel with the depth of knowledge and experience to join our accounting and finance organization and inquiring of all executive management and board of directors of any contracts entered into on behalf of the Company, or its subsidiaries, on a quarterly basis. Further, the Company intends to review any unusual and recurring significant payments for related contracts.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Risks Related to Convertible Notes and Equity Line Credit Financing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who buy shares in the convertible notes and equity line credit financing offering at different times will likely pay different prices.</w:t>
      </w:r>
    </w:p>
    <w:p>
      <w:pPr>
        <w:spacing w:after="0" w:line="2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Investors who purchase shares of common stock at different times will likely pay different prices, and so may experience different levels of dilution and different outcomes in their investment results. In connection with the Equity Line of Credit Financing, we will have discretion, subject to market demand, to vary the timing, prices, and numbers of shares of common stock sold to the Equity Line Investor. Similarly, the Equity Line Investor may sell such shares of common stock at different times and at different prices. Investors may experience a decline in the value of the shares they purchase from the Equity Line Investor because of sales made by us in future transactions to the Equity Line Investor at prices lower than the prices they paid. Sales to the Equity Line Investor by us could result in substantial dilution to the interests of other holders of our Class A common stock. Additionally, the sale of a substantial number of shares of our Class A common stock to the Equity Line Investor, or the anticipation of such sales, could make it more difficult for us to sell equity or equity-related securities in the future at a time and at a price that we might otherwise wish to effect sales, which could have a materially adverse effect on our business and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our sale of shares of common stock to the Equity Line Investor, and you may not agree with how we use the proceeds and the proceeds may not be invested successfully.</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management will have broad discretion with respect to the use of proceeds from the sale of any shares of our common stock to the Equity Line Investor. You will be relying on the judgment of our management regarding the application of the proceeds from the sale of any shares of our common stock to the Equity Line Investor. The results and effectiveness of the use of proceeds are uncertain, and we could spend the proceeds in ways that you do not agree with or that do not improve our results of operations or enhance the value of our common stock. Our failure to apply these funds effectively could harm our business, delay the development of our pipeline product candidates and cause the price of our common stock to decline.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additional financing to sustain our operations, without which we may not be able to continue operations, and the terms of subsequent financings may adversely impact our stockholders.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may direct the Equity Line Investor to purchase up to $5,000,000 worth of shares of our Class A common stock under the Equity Line Purchase Agreement until December 31, 2023, in amounts up to $1,000,000 in shares of our Class A common stock depending on market prices.</w:t>
      </w:r>
    </w:p>
    <w:p>
      <w:pPr>
        <w:spacing w:after="0" w:line="1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sell shares to the Equity Line Investor and obtain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the full amount available to us under the Equity Line Purchase Agreement, depending on the price of our Class A common stock. In addition, any amounts we sell under the Equity Line Purchase Agreement may not satisfy all of our funding needs, even if we are able and choose to sell and issue all of our Class A common stock currently registered.</w:t>
      </w:r>
    </w:p>
    <w:p>
      <w:pPr>
        <w:spacing w:after="0" w:line="1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extent we rely on the Equity Line Investor as a source of funding will depend on a number of factors including the prevailing market price of our Class A common stock and the extent to which we are able to secure working capital from other sources. If obtaining sufficient funding from the Equity Line Investor were to prove unavailable or prohibitively dilutive, we will need to secure another source of funding in order to satisfy our working capital needs. Even if we sell all $5,000,000 in shares of our Class A common stock under the Equity Line Purchase Agreement to the Equity Line Investor,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color w:val="auto"/>
              </w:rPr>
              <w:t>Repurchases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4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Shares</w:t>
            </w:r>
          </w:p>
        </w:tc>
        <w:tc>
          <w:tcPr>
            <w:tcW w:w="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Purchased</w:t>
            </w:r>
          </w:p>
        </w:tc>
        <w:tc>
          <w:tcPr>
            <w:tcW w:w="4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as Part of</w:t>
            </w:r>
          </w:p>
        </w:tc>
        <w:tc>
          <w:tcPr>
            <w:tcW w:w="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74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Publicly</w:t>
            </w:r>
          </w:p>
        </w:tc>
        <w:tc>
          <w:tcPr>
            <w:tcW w:w="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74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Pr>
          <w:p>
            <w:pPr>
              <w:spacing w:after="0"/>
              <w:rPr>
                <w:sz w:val="18"/>
                <w:szCs w:val="18"/>
                <w:color w:val="auto"/>
              </w:rPr>
            </w:pPr>
          </w:p>
        </w:tc>
        <w:tc>
          <w:tcPr>
            <w:tcW w:w="1500" w:type="dxa"/>
            <w:vAlign w:val="bottom"/>
          </w:tcPr>
          <w:p>
            <w:pPr>
              <w:jc w:val="center"/>
              <w:ind w:right="43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Announced</w:t>
            </w:r>
          </w:p>
        </w:tc>
        <w:tc>
          <w:tcPr>
            <w:tcW w:w="4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74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tcPr>
          <w:p>
            <w:pPr>
              <w:spacing w:after="0"/>
              <w:rPr>
                <w:sz w:val="18"/>
                <w:szCs w:val="18"/>
                <w:color w:val="auto"/>
              </w:rPr>
            </w:pPr>
          </w:p>
        </w:tc>
        <w:tc>
          <w:tcPr>
            <w:tcW w:w="15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Price Paid</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4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Plans or</w:t>
            </w:r>
          </w:p>
        </w:tc>
      </w:tr>
      <w:tr>
        <w:trPr>
          <w:trHeight w:val="241"/>
        </w:trPr>
        <w:tc>
          <w:tcPr>
            <w:tcW w:w="474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380" w:type="dxa"/>
            <w:vAlign w:val="bottom"/>
          </w:tcPr>
          <w:p>
            <w:pPr>
              <w:spacing w:after="0"/>
              <w:rPr>
                <w:sz w:val="20"/>
                <w:szCs w:val="20"/>
                <w:color w:val="auto"/>
              </w:rPr>
            </w:pPr>
          </w:p>
        </w:tc>
        <w:tc>
          <w:tcPr>
            <w:tcW w:w="15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per Share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Programs</w:t>
            </w:r>
          </w:p>
        </w:tc>
        <w:tc>
          <w:tcPr>
            <w:tcW w:w="4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r>
      <w:tr>
        <w:trPr>
          <w:trHeight w:val="223"/>
        </w:trPr>
        <w:tc>
          <w:tcPr>
            <w:tcW w:w="4740" w:type="dxa"/>
            <w:vAlign w:val="bottom"/>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40" w:type="dxa"/>
            <w:vAlign w:val="bottom"/>
            <w:tcBorders>
              <w:top w:val="single" w:sz="8" w:color="auto"/>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Period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January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1.68</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February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March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April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May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June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July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August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September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20" w:type="dxa"/>
            <w:vAlign w:val="bottom"/>
            <w:tcBorders>
              <w:top w:val="single" w:sz="8" w:color="CCEEFF"/>
              <w:bottom w:val="single" w:sz="8" w:color="auto"/>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nine month period ended September 30, 2023 were open market transactions. As of September 30,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to our unaudited condensed consolidated financial statements included in this Quarterly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quarter ended September 30, 2023, no director or officer of the Company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1240"/>
              <w:spacing w:after="0"/>
              <w:rPr>
                <w:sz w:val="20"/>
                <w:szCs w:val="20"/>
                <w:color w:val="auto"/>
              </w:rPr>
            </w:pPr>
            <w:r>
              <w:rPr>
                <w:rFonts w:ascii="Arial" w:cs="Arial" w:eastAsia="Arial" w:hAnsi="Arial"/>
                <w:sz w:val="18"/>
                <w:szCs w:val="18"/>
                <w:b w:val="1"/>
                <w:bCs w:val="1"/>
                <w:color w:val="auto"/>
              </w:rPr>
              <w:t>Exhibit Index</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Incorporation by Reference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0" w:type="dxa"/>
            <w:vAlign w:val="bottom"/>
          </w:tcPr>
          <w:p>
            <w:pPr>
              <w:ind w:left="100"/>
              <w:spacing w:after="0" w:line="198" w:lineRule="exact"/>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File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241"/>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gridSpan w:val="7"/>
          </w:tcPr>
          <w:p>
            <w:pPr>
              <w:ind w:left="440"/>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No.</w:t>
            </w: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Filing Date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75"/>
        </w:trPr>
        <w:tc>
          <w:tcPr>
            <w:tcW w:w="7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top w:val="single" w:sz="8" w:color="auto"/>
            </w:tcBorders>
            <w:gridSpan w:val="11"/>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Form of Warrant</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5"/>
                <w:szCs w:val="15"/>
                <w:color w:val="auto"/>
              </w:rPr>
            </w:pPr>
          </w:p>
        </w:tc>
        <w:tc>
          <w:tcPr>
            <w:tcW w:w="12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August 30, 2023</w:t>
            </w: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41556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6"/>
                <w:szCs w:val="16"/>
                <w:color w:val="auto"/>
              </w:rPr>
            </w:pPr>
          </w:p>
        </w:tc>
        <w:tc>
          <w:tcPr>
            <w:tcW w:w="6140" w:type="dxa"/>
            <w:vAlign w:val="bottom"/>
            <w:gridSpan w:val="13"/>
          </w:tcPr>
          <w:p>
            <w:pPr>
              <w:spacing w:after="0" w:line="190" w:lineRule="exact"/>
              <w:rPr>
                <w:rFonts w:ascii="Arial" w:cs="Arial" w:eastAsia="Arial" w:hAnsi="Arial"/>
                <w:sz w:val="18"/>
                <w:szCs w:val="18"/>
                <w:color w:val="0000EE"/>
              </w:rPr>
            </w:pPr>
            <w:hyperlink r:id="rId68">
              <w:r>
                <w:rPr>
                  <w:rFonts w:ascii="Arial" w:cs="Arial" w:eastAsia="Arial" w:hAnsi="Arial"/>
                  <w:sz w:val="18"/>
                  <w:szCs w:val="18"/>
                  <w:color w:val="0000EE"/>
                </w:rPr>
                <w:t>Form of Equity Line Warrant</w:t>
              </w:r>
            </w:hyperlink>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1"/>
              </w:rPr>
              <w:t>August 30,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41556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6"/>
                <w:szCs w:val="16"/>
                <w:color w:val="auto"/>
              </w:rPr>
            </w:pPr>
          </w:p>
        </w:tc>
        <w:tc>
          <w:tcPr>
            <w:tcW w:w="6140" w:type="dxa"/>
            <w:vAlign w:val="bottom"/>
            <w:gridSpan w:val="13"/>
          </w:tcPr>
          <w:p>
            <w:pPr>
              <w:spacing w:after="0" w:line="190" w:lineRule="exact"/>
              <w:rPr>
                <w:rFonts w:ascii="Arial" w:cs="Arial" w:eastAsia="Arial" w:hAnsi="Arial"/>
                <w:sz w:val="18"/>
                <w:szCs w:val="18"/>
                <w:color w:val="0000EE"/>
              </w:rPr>
            </w:pPr>
            <w:hyperlink r:id="rId69">
              <w:r>
                <w:rPr>
                  <w:rFonts w:ascii="Arial" w:cs="Arial" w:eastAsia="Arial" w:hAnsi="Arial"/>
                  <w:sz w:val="18"/>
                  <w:szCs w:val="18"/>
                  <w:color w:val="0000EE"/>
                </w:rPr>
                <w:t>Form of Note</w:t>
              </w:r>
            </w:hyperlink>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1"/>
              </w:rPr>
              <w:t>August 30,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41556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6"/>
                <w:szCs w:val="16"/>
                <w:color w:val="auto"/>
              </w:rPr>
            </w:pPr>
          </w:p>
        </w:tc>
        <w:tc>
          <w:tcPr>
            <w:tcW w:w="6140" w:type="dxa"/>
            <w:vAlign w:val="bottom"/>
            <w:gridSpan w:val="13"/>
          </w:tcPr>
          <w:p>
            <w:pPr>
              <w:spacing w:after="0" w:line="190" w:lineRule="exact"/>
              <w:rPr>
                <w:rFonts w:ascii="Arial" w:cs="Arial" w:eastAsia="Arial" w:hAnsi="Arial"/>
                <w:sz w:val="18"/>
                <w:szCs w:val="18"/>
                <w:color w:val="0000EE"/>
              </w:rPr>
            </w:pPr>
            <w:hyperlink r:id="rId70">
              <w:r>
                <w:rPr>
                  <w:rFonts w:ascii="Arial" w:cs="Arial" w:eastAsia="Arial" w:hAnsi="Arial"/>
                  <w:sz w:val="18"/>
                  <w:szCs w:val="18"/>
                  <w:color w:val="0000EE"/>
                </w:rPr>
                <w:t>Form of Purchase Agreement</w:t>
              </w:r>
            </w:hyperlink>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1"/>
              </w:rPr>
              <w:t>August 30,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41556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6"/>
                <w:szCs w:val="16"/>
                <w:color w:val="auto"/>
              </w:rPr>
            </w:pPr>
          </w:p>
        </w:tc>
        <w:tc>
          <w:tcPr>
            <w:tcW w:w="6140" w:type="dxa"/>
            <w:vAlign w:val="bottom"/>
            <w:gridSpan w:val="13"/>
          </w:tcPr>
          <w:p>
            <w:pPr>
              <w:spacing w:after="0" w:line="190" w:lineRule="exact"/>
              <w:rPr>
                <w:rFonts w:ascii="Arial" w:cs="Arial" w:eastAsia="Arial" w:hAnsi="Arial"/>
                <w:sz w:val="18"/>
                <w:szCs w:val="18"/>
                <w:color w:val="0000EE"/>
              </w:rPr>
            </w:pPr>
            <w:hyperlink r:id="rId71">
              <w:r>
                <w:rPr>
                  <w:rFonts w:ascii="Arial" w:cs="Arial" w:eastAsia="Arial" w:hAnsi="Arial"/>
                  <w:sz w:val="18"/>
                  <w:szCs w:val="18"/>
                  <w:color w:val="0000EE"/>
                </w:rPr>
                <w:t>Form of Registration Rights Agreement</w:t>
              </w:r>
            </w:hyperlink>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1"/>
              </w:rPr>
              <w:t>August 30,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41556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6"/>
                <w:szCs w:val="16"/>
                <w:color w:val="auto"/>
              </w:rPr>
            </w:pPr>
          </w:p>
        </w:tc>
        <w:tc>
          <w:tcPr>
            <w:tcW w:w="6140" w:type="dxa"/>
            <w:vAlign w:val="bottom"/>
            <w:gridSpan w:val="13"/>
          </w:tcPr>
          <w:p>
            <w:pPr>
              <w:spacing w:after="0" w:line="190" w:lineRule="exact"/>
              <w:rPr>
                <w:rFonts w:ascii="Arial" w:cs="Arial" w:eastAsia="Arial" w:hAnsi="Arial"/>
                <w:sz w:val="18"/>
                <w:szCs w:val="18"/>
                <w:color w:val="0000EE"/>
              </w:rPr>
            </w:pPr>
            <w:hyperlink r:id="rId72">
              <w:r>
                <w:rPr>
                  <w:rFonts w:ascii="Arial" w:cs="Arial" w:eastAsia="Arial" w:hAnsi="Arial"/>
                  <w:sz w:val="18"/>
                  <w:szCs w:val="18"/>
                  <w:color w:val="0000EE"/>
                </w:rPr>
                <w:t>Form of Equity Line Purchase Agreement</w:t>
              </w:r>
            </w:hyperlink>
          </w:p>
        </w:tc>
        <w:tc>
          <w:tcPr>
            <w:tcW w:w="76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4"/>
              </w:rPr>
              <w:t>001-</w:t>
            </w:r>
          </w:p>
        </w:tc>
        <w:tc>
          <w:tcPr>
            <w:tcW w:w="120" w:type="dxa"/>
            <w:vAlign w:val="bottom"/>
          </w:tcPr>
          <w:p>
            <w:pPr>
              <w:spacing w:after="0"/>
              <w:rPr>
                <w:sz w:val="16"/>
                <w:szCs w:val="16"/>
                <w:color w:val="auto"/>
              </w:rPr>
            </w:pPr>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1"/>
              </w:rPr>
              <w:t>August 30,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41556</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6020" w:type="dxa"/>
            <w:vAlign w:val="bottom"/>
            <w:gridSpan w:val="11"/>
            <w:vMerge w:val="restart"/>
          </w:tcPr>
          <w:p>
            <w:pPr>
              <w:spacing w:after="0"/>
              <w:rPr>
                <w:sz w:val="20"/>
                <w:szCs w:val="20"/>
                <w:color w:val="auto"/>
              </w:rPr>
            </w:pPr>
            <w:r>
              <w:rPr>
                <w:rFonts w:ascii="Arial" w:cs="Arial" w:eastAsia="Arial" w:hAnsi="Arial"/>
                <w:sz w:val="18"/>
                <w:szCs w:val="18"/>
                <w:color w:val="0000EE"/>
              </w:rPr>
              <w:t>Certification of Chief Executive Officer of Snail, Inc. pursuant to Rule 13a-</w:t>
            </w:r>
          </w:p>
        </w:tc>
        <w:tc>
          <w:tcPr>
            <w:tcW w:w="120" w:type="dxa"/>
            <w:vAlign w:val="bottom"/>
            <w:gridSpan w:val="2"/>
            <w:vMerge w:val="restart"/>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20" w:type="dxa"/>
            <w:vAlign w:val="bottom"/>
            <w:tcBorders>
              <w:bottom w:val="single" w:sz="8" w:color="0000EE"/>
            </w:tcBorders>
            <w:gridSpan w:val="11"/>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14(a)/15d-14(a), as adopted pursuant to Section 302 of the Sarbanes-Oxley Act of</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40" w:type="dxa"/>
            <w:vAlign w:val="bottom"/>
            <w:gridSpan w:val="3"/>
          </w:tcPr>
          <w:p>
            <w:pPr>
              <w:ind w:left="140"/>
              <w:spacing w:after="0" w:line="196" w:lineRule="exact"/>
              <w:rPr>
                <w:sz w:val="20"/>
                <w:szCs w:val="20"/>
                <w:color w:val="auto"/>
              </w:rPr>
            </w:pPr>
            <w:r>
              <w:rPr>
                <w:rFonts w:ascii="Arial" w:cs="Arial" w:eastAsia="Arial" w:hAnsi="Arial"/>
                <w:sz w:val="18"/>
                <w:szCs w:val="18"/>
                <w:color w:val="0000EE"/>
                <w:w w:val="84"/>
              </w:rPr>
              <w:t>2002.</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60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Certification of Principal Financial Officer Pursuant to Rules 13a-14(a) and 15d-</w:t>
            </w:r>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gridSpan w:val="13"/>
          </w:tcPr>
          <w:p>
            <w:pPr>
              <w:spacing w:after="0" w:line="196" w:lineRule="exact"/>
              <w:rPr>
                <w:sz w:val="20"/>
                <w:szCs w:val="20"/>
                <w:color w:val="auto"/>
              </w:rPr>
            </w:pPr>
            <w:r>
              <w:rPr>
                <w:rFonts w:ascii="Arial" w:cs="Arial" w:eastAsia="Arial" w:hAnsi="Arial"/>
                <w:sz w:val="18"/>
                <w:szCs w:val="18"/>
                <w:color w:val="0000EE"/>
                <w:w w:val="93"/>
              </w:rPr>
              <w:t>14(a) under the Securities Exchange Act of 1934, as Adopted Pursuant to Section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302 of the Sarbanes-Oxley Act of 2002.</w:t>
            </w:r>
          </w:p>
        </w:tc>
        <w:tc>
          <w:tcPr>
            <w:tcW w:w="1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6140" w:type="dxa"/>
            <w:vAlign w:val="bottom"/>
            <w:gridSpan w:val="13"/>
          </w:tcPr>
          <w:p>
            <w:pPr>
              <w:spacing w:after="0" w:line="196" w:lineRule="exact"/>
              <w:rPr>
                <w:sz w:val="20"/>
                <w:szCs w:val="20"/>
                <w:color w:val="auto"/>
              </w:rPr>
            </w:pPr>
            <w:r>
              <w:rPr>
                <w:rFonts w:ascii="Arial" w:cs="Arial" w:eastAsia="Arial" w:hAnsi="Arial"/>
                <w:sz w:val="18"/>
                <w:szCs w:val="18"/>
                <w:color w:val="0000EE"/>
                <w:w w:val="94"/>
              </w:rPr>
              <w:t>Certification of Principal Executive Officer Pursuant to 18 U.S.C. Section 1350, as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Adopted Pursuant to Section 906 of the Sarbanes-Oxley Act of 2002.</w:t>
            </w:r>
          </w:p>
        </w:tc>
        <w:tc>
          <w:tcPr>
            <w:tcW w:w="1020" w:type="dxa"/>
            <w:vAlign w:val="bottom"/>
            <w:tcBorders>
              <w:top w:val="single" w:sz="8" w:color="0000EE"/>
            </w:tcBorders>
          </w:tcPr>
          <w:p>
            <w:pPr>
              <w:spacing w:after="0"/>
              <w:rPr>
                <w:sz w:val="17"/>
                <w:szCs w:val="17"/>
                <w:color w:val="auto"/>
              </w:rPr>
            </w:pPr>
          </w:p>
        </w:tc>
        <w:tc>
          <w:tcPr>
            <w:tcW w:w="1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6140" w:type="dxa"/>
            <w:vAlign w:val="bottom"/>
            <w:gridSpan w:val="13"/>
          </w:tcPr>
          <w:p>
            <w:pPr>
              <w:spacing w:after="0" w:line="196" w:lineRule="exact"/>
              <w:rPr>
                <w:sz w:val="20"/>
                <w:szCs w:val="20"/>
                <w:color w:val="auto"/>
              </w:rPr>
            </w:pPr>
            <w:r>
              <w:rPr>
                <w:rFonts w:ascii="Arial" w:cs="Arial" w:eastAsia="Arial" w:hAnsi="Arial"/>
                <w:sz w:val="18"/>
                <w:szCs w:val="18"/>
                <w:color w:val="0000EE"/>
                <w:w w:val="95"/>
              </w:rPr>
              <w:t>Certification of Principal Financial Officer Pursuant to 18 U.S.C. Section 1350, as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Adopted Pursuant to Section 906 of the Sarbanes-Oxley Act of 2002.</w:t>
            </w:r>
          </w:p>
        </w:tc>
        <w:tc>
          <w:tcPr>
            <w:tcW w:w="1020" w:type="dxa"/>
            <w:vAlign w:val="bottom"/>
            <w:tcBorders>
              <w:top w:val="single" w:sz="8" w:color="0000EE"/>
            </w:tcBorders>
          </w:tcPr>
          <w:p>
            <w:pPr>
              <w:spacing w:after="0"/>
              <w:rPr>
                <w:sz w:val="17"/>
                <w:szCs w:val="17"/>
                <w:color w:val="auto"/>
              </w:rPr>
            </w:pPr>
          </w:p>
        </w:tc>
        <w:tc>
          <w:tcPr>
            <w:tcW w:w="1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3"/>
              </w:rPr>
              <w:t>101.SCH</w:t>
            </w:r>
          </w:p>
        </w:tc>
        <w:tc>
          <w:tcPr>
            <w:tcW w:w="140" w:type="dxa"/>
            <w:vAlign w:val="bottom"/>
          </w:tcPr>
          <w:p>
            <w:pPr>
              <w:spacing w:after="0"/>
              <w:rPr>
                <w:sz w:val="18"/>
                <w:szCs w:val="18"/>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18"/>
                <w:szCs w:val="18"/>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5"/>
              </w:rPr>
              <w:t>101.DEF</w:t>
            </w:r>
          </w:p>
        </w:tc>
        <w:tc>
          <w:tcPr>
            <w:tcW w:w="140" w:type="dxa"/>
            <w:vAlign w:val="bottom"/>
          </w:tcPr>
          <w:p>
            <w:pPr>
              <w:spacing w:after="0"/>
              <w:rPr>
                <w:sz w:val="18"/>
                <w:szCs w:val="18"/>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18"/>
                <w:szCs w:val="18"/>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4"/>
              </w:rPr>
              <w:t>101.PRE</w:t>
            </w:r>
          </w:p>
        </w:tc>
        <w:tc>
          <w:tcPr>
            <w:tcW w:w="140" w:type="dxa"/>
            <w:vAlign w:val="bottom"/>
          </w:tcPr>
          <w:p>
            <w:pPr>
              <w:spacing w:after="0"/>
              <w:rPr>
                <w:sz w:val="18"/>
                <w:szCs w:val="18"/>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6140" w:type="dxa"/>
            <w:vAlign w:val="bottom"/>
            <w:gridSpan w:val="13"/>
          </w:tcPr>
          <w:p>
            <w:pPr>
              <w:spacing w:after="0"/>
              <w:rPr>
                <w:sz w:val="20"/>
                <w:szCs w:val="20"/>
                <w:color w:val="auto"/>
              </w:rPr>
            </w:pPr>
            <w:r>
              <w:rPr>
                <w:rFonts w:ascii="Arial" w:cs="Arial" w:eastAsia="Arial" w:hAnsi="Arial"/>
                <w:sz w:val="18"/>
                <w:szCs w:val="18"/>
                <w:color w:val="auto"/>
                <w:w w:val="97"/>
              </w:rPr>
              <w:t>Cover Page Interactive Data File (embedded within the Inline XBRL document)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Culver City, California, on August 14, 2023.</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Snail,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Jim S. Tsai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Heidy Chow</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Jim S. Tsai,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Snail,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1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ind w:firstLine="8"/>
        <w:spacing w:after="0" w:line="277" w:lineRule="auto"/>
        <w:tabs>
          <w:tab w:leader="none" w:pos="1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 S. Tsai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Heidy Chow,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Snail,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1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ind w:firstLine="8"/>
        <w:spacing w:after="0" w:line="277" w:lineRule="auto"/>
        <w:tabs>
          <w:tab w:leader="none" w:pos="1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Heidy Chow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Snail, Inc. (the “Company”) on Form 10-Q for the period ended September 30, 2023, as filed with the Securities and Exchange Commission on the date hereof (the “Report”), I, Jim S. Tsai, Chief Executive Officer of the Company, certify, pursuant to 18 U.S.C. Section 1350, as adopted pursuant to Section 906 of the Sarbanes-Oxley Act of 2002, that to the best of my knowledge:</w:t>
      </w:r>
    </w:p>
    <w:p>
      <w:pPr>
        <w:spacing w:after="0" w:line="165"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 S. Tsai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Snail, Inc. (the “Company”) on Form 10-Q for the period ended September 30, 2023, as filed with the Securities and Exchange Commission on the date hereof (the “Report”), I, Heidy Chow, Chief Financial Officer of the Company, certify, pursuant to 18 U.S.C. Section 1350, as adopted pursuant to Section 906 of the Sarbanes-Oxley Act of 2002, that to the best of my knowledge:</w:t>
      </w:r>
    </w:p>
    <w:p>
      <w:pPr>
        <w:spacing w:after="0" w:line="16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Heidy Chow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upperLetter"/>
      <w:start w:val="35"/>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67" Type="http://schemas.openxmlformats.org/officeDocument/2006/relationships/hyperlink" Target="https://www.sec.gov/Archives/edgar/data/1886894/000149315223030672/ex4-1.htm" TargetMode="External"/><Relationship Id="rId68" Type="http://schemas.openxmlformats.org/officeDocument/2006/relationships/hyperlink" Target="https://www.sec.gov/Archives/edgar/data/1886894/000149315223030672/ex4-2.htm" TargetMode="External"/><Relationship Id="rId69" Type="http://schemas.openxmlformats.org/officeDocument/2006/relationships/hyperlink" Target="https://www.sec.gov/Archives/edgar/data/1886894/000149315223030672/ex4-3.htm" TargetMode="External"/><Relationship Id="rId70" Type="http://schemas.openxmlformats.org/officeDocument/2006/relationships/hyperlink" Target="https://www.sec.gov/Archives/edgar/data/1886894/000149315223030672/ex10-1.htm" TargetMode="External"/><Relationship Id="rId71" Type="http://schemas.openxmlformats.org/officeDocument/2006/relationships/hyperlink" Target="https://www.sec.gov/Archives/edgar/data/1886894/000149315223030672/ex10-2.htm" TargetMode="External"/><Relationship Id="rId72" Type="http://schemas.openxmlformats.org/officeDocument/2006/relationships/hyperlink" Target="https://www.sec.gov/Archives/edgar/data/1886894/000149315223030672/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2023-11-14T16:07:58Z</dcterms:created>
  <dcterms:modified xsi:type="dcterms:W3CDTF">2023-11-14T16:07:58Z</dcterms:modified>
</cp:coreProperties>
</file>