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Snail,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811"/>
            <w:bookmarkEnd w:id="6"/>
            <w:r>
              <w:rPr>
                <w:rFonts w:ascii="Times New Roman;Times;Serif" w:hAnsi="Times New Roman;Times;Serif"/>
                <w:b/>
                <w:i w:val="false"/>
                <w:caps w:val="false"/>
                <w:smallCaps w:val="false"/>
                <w:sz w:val="20"/>
              </w:rPr>
              <w:t>001-41556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88-4146991</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12049 Jefferson Blvd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Culver City, </w:t>
      </w:r>
      <w:bookmarkStart w:id="10" w:name="xdx_90D_edei--EntityAddressStateOrProvin"/>
      <w:bookmarkEnd w:id="10"/>
      <w:r>
        <w:rPr>
          <w:rFonts w:ascii="Times New Roman;Times;Serif" w:hAnsi="Times New Roman;Times;Serif"/>
          <w:b/>
          <w:i w:val="false"/>
          <w:caps w:val="false"/>
          <w:smallCaps w:val="false"/>
          <w:sz w:val="20"/>
        </w:rPr>
        <w:t xml:space="preserve">CA </w:t>
      </w:r>
      <w:bookmarkStart w:id="11" w:name="xdx_906_edei--EntityAddressPostalZipCode"/>
      <w:bookmarkEnd w:id="11"/>
      <w:r>
        <w:rPr>
          <w:rFonts w:ascii="Times New Roman;Times;Serif" w:hAnsi="Times New Roman;Times;Serif"/>
          <w:b/>
          <w:i w:val="false"/>
          <w:caps w:val="false"/>
          <w:smallCaps w:val="false"/>
          <w:sz w:val="20"/>
        </w:rPr>
        <w:t>90230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bookmarkStart w:id="12" w:name="xdx_90A_edei--CityAreaCode_c20260811__20"/>
      <w:bookmarkEnd w:id="12"/>
      <w:r>
        <w:rPr>
          <w:rFonts w:ascii="Times New Roman;Times;Serif" w:hAnsi="Times New Roman;Times;Serif"/>
          <w:b/>
          <w:i w:val="false"/>
          <w:caps w:val="false"/>
          <w:smallCaps w:val="false"/>
          <w:sz w:val="20"/>
        </w:rPr>
        <w:t xml:space="preserve">(310) </w:t>
      </w:r>
      <w:bookmarkStart w:id="13" w:name="xdx_90E_edei--LocalPhoneNumber_c20260811"/>
      <w:bookmarkEnd w:id="13"/>
      <w:r>
        <w:rPr>
          <w:rFonts w:ascii="Times New Roman;Times;Serif" w:hAnsi="Times New Roman;Times;Serif"/>
          <w:b/>
          <w:i w:val="false"/>
          <w:caps w:val="false"/>
          <w:smallCaps w:val="false"/>
          <w:sz w:val="20"/>
        </w:rPr>
        <w:t>988-0643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A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0_edei--SolicitingMaterial_c202608"/>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6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9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900" w:type="dxa"/>
        <w:jc w:val="left"/>
        <w:tblInd w:w="0" w:type="dxa"/>
        <w:tblLayout w:type="fixed"/>
        <w:tblCellMar>
          <w:top w:w="0" w:type="dxa"/>
          <w:left w:w="0" w:type="dxa"/>
          <w:bottom w:w="28" w:type="dxa"/>
          <w:right w:w="0" w:type="dxa"/>
        </w:tblCellMar>
      </w:tblPr>
      <w:tblGrid>
        <w:gridCol w:w="4460"/>
        <w:gridCol w:w="60"/>
        <w:gridCol w:w="1610"/>
        <w:gridCol w:w="60"/>
        <w:gridCol w:w="3710"/>
      </w:tblGrid>
      <w:tr>
        <w:trPr/>
        <w:tc>
          <w:tcPr>
            <w:tcW w:w="4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4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3_edei--Security12bTitle_c20260811"/>
            <w:bookmarkEnd w:id="18"/>
            <w:r>
              <w:rPr>
                <w:rFonts w:ascii="Times New Roman;Times;Serif" w:hAnsi="Times New Roman;Times;Serif"/>
                <w:b/>
                <w:i w:val="false"/>
                <w:caps w:val="false"/>
                <w:smallCaps w:val="false"/>
                <w:sz w:val="20"/>
              </w:rPr>
              <w:t>Class A 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0_edei--TradingSymbol_c20260811__2"/>
            <w:bookmarkEnd w:id="19"/>
            <w:r>
              <w:rPr>
                <w:rFonts w:ascii="Times New Roman;Times;Serif" w:hAnsi="Times New Roman;Times;Serif"/>
                <w:b/>
                <w:i w:val="false"/>
                <w:caps w:val="false"/>
                <w:smallCaps w:val="false"/>
                <w:sz w:val="20"/>
              </w:rPr>
              <w:t>SNAL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20" w:name="xdx_90C_edei--SecurityExchangeName_c2026"/>
            <w:bookmarkEnd w:id="20"/>
            <w:r>
              <w:rPr>
                <w:rFonts w:ascii="Times New Roman;Times;Serif" w:hAnsi="Times New Roman;Times;Serif"/>
                <w:b/>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5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Snail, Inc., a Delaware corporation, (the “Company”) issued a press release that included financial information for its quarter ended June 30, 2026. A copy of the press release is attached as Exhibit 99.1 to this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in the press release attached as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press release attached as Exhibit 99.1 to this Current Report on Form 8-K shall not be incorporated by reference into any filing with the U.S. Securities and Exchange Commission made by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4"/>
        <w:gridCol w:w="60"/>
        <w:gridCol w:w="9181"/>
      </w:tblGrid>
      <w:tr>
        <w:trPr/>
        <w:tc>
          <w:tcPr>
            <w:tcW w:w="96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8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81"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11, 2026, issued by Snail, Inc. regarding its financial results for its quarter ended June 30, 2026</w:t>
              </w:r>
            </w:hyperlink>
          </w:p>
        </w:tc>
      </w:tr>
      <w:tr>
        <w:trPr/>
        <w:tc>
          <w:tcPr>
            <w:tcW w:w="9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8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3"/>
        <w:gridCol w:w="544"/>
        <w:gridCol w:w="7798"/>
      </w:tblGrid>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8342"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tcBorders/>
            <w:vAlign w:val="center"/>
          </w:tcPr>
          <w:p>
            <w:pPr>
              <w:pStyle w:val="TableContents"/>
              <w:bidi w:val="0"/>
              <w:spacing w:before="0" w:after="283"/>
              <w:jc w:val="left"/>
              <w:rPr>
                <w:caps w:val="false"/>
                <w:smallCaps w:val="false"/>
              </w:rPr>
            </w:pPr>
            <w:r>
              <w:rPr>
                <w:caps w:val="false"/>
                <w:smallCaps w:val="false"/>
              </w:rPr>
              <w:t> </w:t>
            </w:r>
          </w:p>
        </w:tc>
        <w:tc>
          <w:tcPr>
            <w:tcW w:w="77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5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79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7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 Chief Strategy Officer and 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5025" cy="1266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5025" cy="12668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Reports Second Quarter 2026 Financial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CULVER CITY, Calif., August 11, 2026 (GLOBE NEWSWIRE) – Snail, Inc. (Nasdaq: SNAL) (“Snail Games” or the “Company”),</w:t>
      </w:r>
      <w:r>
        <w:rPr>
          <w:rFonts w:ascii="Times New Roman;Times;Serif" w:hAnsi="Times New Roman;Times;Serif"/>
          <w:b w:val="false"/>
          <w:i w:val="false"/>
          <w:caps w:val="false"/>
          <w:smallCaps w:val="false"/>
          <w:sz w:val="20"/>
        </w:rPr>
        <w:t xml:space="preserve"> a leading global independent developer and publisher of interactive digital entertainment, today announced financial results for the second quarter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and Recent Operational Highlights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ARK Franchise Updates:</w:t>
      </w:r>
    </w:p>
    <w:p>
      <w:pPr>
        <w:pStyle w:val="TextBody"/>
        <w:bidi w:val="0"/>
        <w:spacing w:before="0" w:after="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ARK: Survival Evolved (“ASE”):</w:t>
            </w:r>
          </w:p>
        </w:tc>
      </w:tr>
    </w:tbl>
    <w:p>
      <w:pPr>
        <w:pStyle w:val="TextBody"/>
        <w:bidi w:val="0"/>
        <w:spacing w:before="0" w:after="0"/>
        <w:ind w:left="720" w:right="0" w:hanging="360"/>
        <w:jc w:val="both"/>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 were approximately 574,000 for the second quarter of 2026</w:t>
            </w:r>
          </w:p>
        </w:tc>
      </w:tr>
    </w:tbl>
    <w:p>
      <w:pPr>
        <w:pStyle w:val="TextBody"/>
        <w:bidi w:val="0"/>
        <w:spacing w:before="0" w:after="0"/>
        <w:ind w:left="1440" w:right="0" w:hanging="36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average daily active users (“DAU”) were 105,000 and peak DAU was 131,000</w:t>
            </w:r>
          </w:p>
        </w:tc>
      </w:tr>
    </w:tbl>
    <w:p>
      <w:pPr>
        <w:pStyle w:val="TextBody"/>
        <w:bidi w:val="0"/>
        <w:spacing w:before="0" w:after="0"/>
        <w:ind w:left="1440" w:right="0" w:hanging="36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ARK: Survival Ascended (“ASA”):</w:t>
            </w:r>
          </w:p>
        </w:tc>
      </w:tr>
    </w:tbl>
    <w:p>
      <w:pPr>
        <w:pStyle w:val="TextBody"/>
        <w:bidi w:val="0"/>
        <w:spacing w:before="0" w:after="0"/>
        <w:ind w:left="720" w:right="0" w:hanging="36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 were approximately 1.2 million for the second quarter of 2026</w:t>
            </w:r>
          </w:p>
        </w:tc>
      </w:tr>
    </w:tbl>
    <w:p>
      <w:pPr>
        <w:pStyle w:val="TextBody"/>
        <w:bidi w:val="0"/>
        <w:spacing w:before="0" w:after="0"/>
        <w:ind w:left="1440" w:right="0" w:hanging="360"/>
        <w:jc w:val="both"/>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7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average DAU was 120,000 and peak DAU was over 155,000</w:t>
            </w:r>
          </w:p>
        </w:tc>
      </w:tr>
    </w:tbl>
    <w:p>
      <w:pPr>
        <w:pStyle w:val="TextBody"/>
        <w:bidi w:val="0"/>
        <w:spacing w:before="0" w:after="0"/>
        <w:ind w:left="1440" w:right="0" w:hanging="36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Launched the </w:t>
            </w:r>
            <w:r>
              <w:rPr>
                <w:rFonts w:ascii="Times New Roman;Times;Serif" w:hAnsi="Times New Roman;Times;Serif"/>
                <w:b w:val="false"/>
                <w:i/>
                <w:caps w:val="false"/>
                <w:smallCaps w:val="false"/>
                <w:sz w:val="20"/>
              </w:rPr>
              <w:t>ARK: Fantastic Tames Season 1 Pack</w:t>
            </w:r>
          </w:p>
        </w:tc>
      </w:tr>
    </w:tbl>
    <w:p>
      <w:pPr>
        <w:pStyle w:val="TextBody"/>
        <w:bidi w:val="0"/>
        <w:spacing w:before="0" w:after="0"/>
        <w:ind w:left="1440" w:right="0" w:hanging="36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Launched </w:t>
            </w:r>
            <w:r>
              <w:rPr>
                <w:rFonts w:ascii="Times New Roman;Times;Serif" w:hAnsi="Times New Roman;Times;Serif"/>
                <w:b w:val="false"/>
                <w:i/>
                <w:caps w:val="false"/>
                <w:smallCaps w:val="false"/>
                <w:sz w:val="20"/>
              </w:rPr>
              <w:t>ARK: Genesis Part 1 Ascended, ARK: Tides of Fortune</w:t>
            </w:r>
            <w:r>
              <w:rPr>
                <w:rFonts w:ascii="Times New Roman;Times;Serif" w:hAnsi="Times New Roman;Times;Serif"/>
                <w:b w:val="false"/>
                <w:i w:val="false"/>
                <w:caps w:val="false"/>
                <w:smallCaps w:val="false"/>
                <w:sz w:val="20"/>
              </w:rPr>
              <w:t xml:space="preserve">, and shadow-dropped the </w:t>
            </w:r>
            <w:r>
              <w:rPr>
                <w:rFonts w:ascii="Times New Roman;Times;Serif" w:hAnsi="Times New Roman;Times;Serif"/>
                <w:b w:val="false"/>
                <w:i/>
                <w:caps w:val="false"/>
                <w:smallCaps w:val="false"/>
                <w:sz w:val="20"/>
              </w:rPr>
              <w:t>ARK: Dragontopia</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Revealed teaser for </w:t>
            </w:r>
            <w:r>
              <w:rPr>
                <w:rFonts w:ascii="Times New Roman;Times;Serif" w:hAnsi="Times New Roman;Times;Serif"/>
                <w:b w:val="false"/>
                <w:i/>
                <w:caps w:val="false"/>
                <w:smallCaps w:val="false"/>
                <w:sz w:val="20"/>
              </w:rPr>
              <w:t xml:space="preserve">ARK Maker, </w:t>
            </w:r>
            <w:r>
              <w:rPr>
                <w:rFonts w:ascii="Times New Roman;Times;Serif" w:hAnsi="Times New Roman;Times;Serif"/>
                <w:b w:val="false"/>
                <w:i w:val="false"/>
                <w:caps w:val="false"/>
                <w:smallCaps w:val="false"/>
                <w:sz w:val="20"/>
              </w:rPr>
              <w:t xml:space="preserve">a content creation tool designed to expand community-generated content opportunities within the </w:t>
            </w:r>
            <w:r>
              <w:rPr>
                <w:rFonts w:ascii="Times New Roman;Times;Serif" w:hAnsi="Times New Roman;Times;Serif"/>
                <w:b w:val="false"/>
                <w:i/>
                <w:caps w:val="false"/>
                <w:smallCaps w:val="false"/>
                <w:sz w:val="20"/>
              </w:rPr>
              <w:t>ASA</w:t>
            </w:r>
            <w:r>
              <w:rPr>
                <w:rFonts w:ascii="Times New Roman;Times;Serif" w:hAnsi="Times New Roman;Times;Serif"/>
                <w:b w:val="false"/>
                <w:i w:val="false"/>
                <w:caps w:val="false"/>
                <w:smallCaps w:val="false"/>
                <w:sz w:val="20"/>
              </w:rPr>
              <w:t xml:space="preserve"> ecosystem</w:t>
            </w:r>
          </w:p>
        </w:tc>
      </w:tr>
    </w:tbl>
    <w:p>
      <w:pPr>
        <w:pStyle w:val="TextBody"/>
        <w:bidi w:val="0"/>
        <w:spacing w:before="0" w:after="0"/>
        <w:ind w:left="1440" w:right="0" w:hanging="36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17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7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ARK: Ultimate Mobile Edition (“ARK Mobile”):</w:t>
            </w:r>
          </w:p>
        </w:tc>
      </w:tr>
    </w:tbl>
    <w:p>
      <w:pPr>
        <w:pStyle w:val="TextBody"/>
        <w:bidi w:val="0"/>
        <w:spacing w:before="0" w:after="0"/>
        <w:ind w:left="720" w:right="0" w:hanging="36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17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million downloads as of June 30, 2026</w:t>
            </w:r>
          </w:p>
        </w:tc>
      </w:tr>
    </w:tbl>
    <w:p>
      <w:pPr>
        <w:pStyle w:val="TextBody"/>
        <w:bidi w:val="0"/>
        <w:spacing w:before="0" w:after="0"/>
        <w:ind w:left="1440" w:right="0" w:hanging="36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average DAU was 129,000</w:t>
            </w:r>
          </w:p>
        </w:tc>
      </w:tr>
    </w:tbl>
    <w:p>
      <w:pPr>
        <w:pStyle w:val="TextBody"/>
        <w:bidi w:val="0"/>
        <w:spacing w:before="0" w:after="0"/>
        <w:ind w:left="1440" w:right="0" w:hanging="360"/>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7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r>
              <w:rPr>
                <w:rFonts w:ascii="Times New Roman;Times;Serif" w:hAnsi="Times New Roman;Times;Serif"/>
                <w:b/>
                <w:i/>
                <w:caps w:val="false"/>
                <w:smallCaps w:val="false"/>
                <w:sz w:val="20"/>
              </w:rPr>
              <w:t xml:space="preserve">ARK </w:t>
            </w:r>
            <w:r>
              <w:rPr>
                <w:rFonts w:ascii="Times New Roman;Times;Serif" w:hAnsi="Times New Roman;Times;Serif"/>
                <w:b/>
                <w:i w:val="false"/>
                <w:caps w:val="false"/>
                <w:smallCaps w:val="false"/>
                <w:sz w:val="20"/>
              </w:rPr>
              <w:t>IPs</w:t>
            </w:r>
          </w:p>
        </w:tc>
      </w:tr>
    </w:tbl>
    <w:p>
      <w:pPr>
        <w:pStyle w:val="TextBody"/>
        <w:bidi w:val="0"/>
        <w:spacing w:before="0" w:after="0"/>
        <w:ind w:left="720" w:right="0" w:hanging="36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Shared new details around </w:t>
            </w:r>
            <w:r>
              <w:rPr>
                <w:rFonts w:ascii="Times New Roman;Times;Serif" w:hAnsi="Times New Roman;Times;Serif"/>
                <w:b w:val="false"/>
                <w:i/>
                <w:caps w:val="false"/>
                <w:smallCaps w:val="false"/>
                <w:sz w:val="20"/>
              </w:rPr>
              <w:t>ARK: The Animated Series Part 2</w:t>
            </w:r>
            <w:r>
              <w:rPr>
                <w:rFonts w:ascii="Times New Roman;Times;Serif" w:hAnsi="Times New Roman;Times;Serif"/>
                <w:b w:val="false"/>
                <w:i w:val="false"/>
                <w:caps w:val="false"/>
                <w:smallCaps w:val="false"/>
                <w:sz w:val="20"/>
              </w:rPr>
              <w:t xml:space="preserve"> at IGN Live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Unveiled </w:t>
            </w:r>
            <w:r>
              <w:rPr>
                <w:rFonts w:ascii="Times New Roman;Times;Serif" w:hAnsi="Times New Roman;Times;Serif"/>
                <w:b w:val="false"/>
                <w:i/>
                <w:caps w:val="false"/>
                <w:smallCaps w:val="false"/>
                <w:sz w:val="20"/>
              </w:rPr>
              <w:t>PixARK: Terracrypt</w:t>
            </w:r>
            <w:r>
              <w:rPr>
                <w:rFonts w:ascii="Times New Roman;Times;Serif" w:hAnsi="Times New Roman;Times;Serif"/>
                <w:b w:val="false"/>
                <w:i w:val="false"/>
                <w:caps w:val="false"/>
                <w:smallCaps w:val="false"/>
                <w:sz w:val="20"/>
              </w:rPr>
              <w:t xml:space="preserve">, the largest paid DLC expansion for </w:t>
            </w:r>
            <w:r>
              <w:rPr>
                <w:rFonts w:ascii="Times New Roman;Times;Serif" w:hAnsi="Times New Roman;Times;Serif"/>
                <w:b w:val="false"/>
                <w:i/>
                <w:caps w:val="false"/>
                <w:smallCaps w:val="false"/>
                <w:sz w:val="20"/>
              </w:rPr>
              <w:t>PixARK</w:t>
            </w:r>
            <w:r>
              <w:rPr>
                <w:rFonts w:ascii="Times New Roman;Times;Serif" w:hAnsi="Times New Roman;Times;Serif"/>
                <w:b w:val="false"/>
                <w:i w:val="false"/>
                <w:caps w:val="false"/>
                <w:smallCaps w:val="false"/>
                <w:sz w:val="20"/>
              </w:rPr>
              <w:t>, planned to introduce more than 200 hours of gameplay and 80 new creatures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Game Portfolio and Business Updates:</w:t>
      </w:r>
    </w:p>
    <w:p>
      <w:pPr>
        <w:pStyle w:val="TextBody"/>
        <w:bidi w:val="0"/>
        <w:spacing w:before="0" w:after="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Game Pipeline</w:t>
            </w:r>
          </w:p>
        </w:tc>
      </w:tr>
    </w:tbl>
    <w:p>
      <w:pPr>
        <w:pStyle w:val="TextBody"/>
        <w:bidi w:val="0"/>
        <w:spacing w:before="0" w:after="0"/>
        <w:ind w:left="720" w:right="0" w:hanging="36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Officially unveiled </w:t>
            </w:r>
            <w:r>
              <w:rPr>
                <w:rFonts w:ascii="Times New Roman;Times;Serif" w:hAnsi="Times New Roman;Times;Serif"/>
                <w:b w:val="false"/>
                <w:i/>
                <w:caps w:val="false"/>
                <w:smallCaps w:val="false"/>
                <w:sz w:val="20"/>
              </w:rPr>
              <w:t>9 Yin Sutra: Immortal</w:t>
            </w:r>
            <w:r>
              <w:rPr>
                <w:rFonts w:ascii="Times New Roman;Times;Serif" w:hAnsi="Times New Roman;Times;Serif"/>
                <w:b w:val="false"/>
                <w:i w:val="false"/>
                <w:caps w:val="false"/>
                <w:smallCaps w:val="false"/>
                <w:sz w:val="20"/>
              </w:rPr>
              <w:t xml:space="preserve"> at ChinaJoy 2026, revealing a new trailer and Steam page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Announced attendance at Gamescon 2026, where the Company will unveil a first look at an unannounced internally developed AAA title, alongside </w:t>
            </w:r>
            <w:r>
              <w:rPr>
                <w:rFonts w:ascii="Times New Roman;Times;Serif" w:hAnsi="Times New Roman;Times;Serif"/>
                <w:b w:val="false"/>
                <w:i/>
                <w:caps w:val="false"/>
                <w:smallCaps w:val="false"/>
                <w:sz w:val="20"/>
              </w:rPr>
              <w:t>ASA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 The Stars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Honeycomb: The World Beyond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Released a new developer diary for </w:t>
            </w:r>
            <w:r>
              <w:rPr>
                <w:rFonts w:ascii="Times New Roman;Times;Serif" w:hAnsi="Times New Roman;Times;Serif"/>
                <w:b w:val="false"/>
                <w:i/>
                <w:caps w:val="false"/>
                <w:smallCaps w:val="false"/>
                <w:sz w:val="20"/>
              </w:rPr>
              <w:t>For The Stars</w:t>
            </w:r>
            <w:r>
              <w:rPr>
                <w:rFonts w:ascii="Times New Roman;Times;Serif" w:hAnsi="Times New Roman;Times;Serif"/>
                <w:b w:val="false"/>
                <w:i w:val="false"/>
                <w:caps w:val="false"/>
                <w:smallCaps w:val="false"/>
                <w:sz w:val="20"/>
              </w:rPr>
              <w:t>, offering an in-depth look at the game’s current development progress, new pre-alpha footage, and previously unreleased concept art</w:t>
            </w:r>
          </w:p>
        </w:tc>
      </w:tr>
    </w:tbl>
    <w:p>
      <w:pPr>
        <w:pStyle w:val="TextBody"/>
        <w:bidi w:val="0"/>
        <w:spacing w:before="0" w:after="0"/>
        <w:ind w:left="144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5025" cy="1266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05025" cy="1266825"/>
                    </a:xfrm>
                    <a:prstGeom prst="rect">
                      <a:avLst/>
                    </a:prstGeom>
                  </pic:spPr>
                </pic:pic>
              </a:graphicData>
            </a:graphic>
          </wp:inline>
        </w:drawing>
      </w:r>
    </w:p>
    <w:p>
      <w:pPr>
        <w:pStyle w:val="TextBody"/>
        <w:bidi w:val="0"/>
        <w:spacing w:before="0" w:after="0"/>
        <w:ind w:left="1440" w:right="0" w:hanging="36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launched on PlayStation and Xbox</w:t>
            </w:r>
          </w:p>
        </w:tc>
      </w:tr>
    </w:tbl>
    <w:p>
      <w:pPr>
        <w:pStyle w:val="TextBody"/>
        <w:bidi w:val="0"/>
        <w:spacing w:before="0" w:after="0"/>
        <w:ind w:left="720" w:right="0" w:hanging="36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Reached the Top 5 Paid Games list on Xbox following the console launch, demonstrating positive early engagement</w:t>
            </w:r>
          </w:p>
        </w:tc>
      </w:tr>
    </w:tbl>
    <w:p>
      <w:pPr>
        <w:pStyle w:val="TextBody"/>
        <w:bidi w:val="0"/>
        <w:spacing w:before="0" w:after="0"/>
        <w:ind w:left="1440" w:right="0" w:hanging="36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Launched </w:t>
            </w:r>
            <w:r>
              <w:rPr>
                <w:rFonts w:ascii="Times New Roman;Times;Serif" w:hAnsi="Times New Roman;Times;Serif"/>
                <w:b w:val="false"/>
                <w:i/>
                <w:caps w:val="false"/>
                <w:smallCaps w:val="false"/>
                <w:sz w:val="20"/>
              </w:rPr>
              <w:t>Survivor Mercs</w:t>
            </w:r>
            <w:r>
              <w:rPr>
                <w:rFonts w:ascii="Times New Roman;Times;Serif" w:hAnsi="Times New Roman;Times;Serif"/>
                <w:b w:val="false"/>
                <w:i w:val="false"/>
                <w:caps w:val="false"/>
                <w:smallCaps w:val="false"/>
                <w:sz w:val="20"/>
              </w:rPr>
              <w:t xml:space="preserve"> 1.0 across Steam, Xbox, and PlayStation, and launched </w:t>
            </w:r>
            <w:r>
              <w:rPr>
                <w:rFonts w:ascii="Times New Roman;Times;Serif" w:hAnsi="Times New Roman;Times;Serif"/>
                <w:b w:val="false"/>
                <w:i/>
                <w:caps w:val="false"/>
                <w:smallCaps w:val="false"/>
                <w:sz w:val="20"/>
              </w:rPr>
              <w:t>Above The Snow</w:t>
            </w:r>
            <w:r>
              <w:rPr>
                <w:rFonts w:ascii="Times New Roman;Times;Serif" w:hAnsi="Times New Roman;Times;Serif"/>
                <w:b w:val="false"/>
                <w:i w:val="false"/>
                <w:caps w:val="false"/>
                <w:smallCaps w:val="false"/>
                <w:sz w:val="20"/>
              </w:rPr>
              <w:t xml:space="preserve"> on Steam</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and Operational Updates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Egofold, the Company’s subsidiary, publicly debuted the AI Ranch initiative and Non-Human Player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(NHP), an AI gaming companion for consumers, at the Ai4 2026 conference</w:t>
            </w:r>
          </w:p>
        </w:tc>
      </w:tr>
    </w:tbl>
    <w:p>
      <w:pPr>
        <w:pStyle w:val="TextBody"/>
        <w:bidi w:val="0"/>
        <w:spacing w:before="0" w:after="0"/>
        <w:ind w:left="720" w:right="0" w:hanging="36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released 300+ short film dramas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ARK Content Pipeline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82"/>
        <w:gridCol w:w="60"/>
        <w:gridCol w:w="3527"/>
        <w:gridCol w:w="60"/>
        <w:gridCol w:w="2180"/>
        <w:gridCol w:w="60"/>
        <w:gridCol w:w="1436"/>
      </w:tblGrid>
      <w:tr>
        <w:trPr/>
        <w:tc>
          <w:tcPr>
            <w:tcW w:w="288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352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Platforms</w:t>
            </w:r>
          </w:p>
        </w:tc>
        <w:tc>
          <w:tcPr>
            <w:tcW w:w="60" w:type="dxa"/>
            <w:tcBorders/>
            <w:tcMar>
              <w:bottom w:w="0" w:type="dxa"/>
            </w:tcMar>
            <w:vAlign w:val="center"/>
          </w:tcPr>
          <w:p>
            <w:pPr>
              <w:pStyle w:val="TableContents"/>
              <w:bidi w:val="0"/>
              <w:spacing w:before="0" w:after="283"/>
              <w:jc w:val="left"/>
              <w:rPr/>
            </w:pPr>
            <w:r>
              <w:rPr/>
              <w:t> </w:t>
            </w:r>
          </w:p>
        </w:tc>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tcMar>
              <w:bottom w:w="0" w:type="dxa"/>
            </w:tcMar>
            <w:vAlign w:val="center"/>
          </w:tcPr>
          <w:p>
            <w:pPr>
              <w:pStyle w:val="TableContents"/>
              <w:bidi w:val="0"/>
              <w:spacing w:before="0" w:after="283"/>
              <w:jc w:val="left"/>
              <w:rPr/>
            </w:pPr>
            <w:r>
              <w:rPr/>
              <w:t> </w:t>
            </w:r>
          </w:p>
        </w:tc>
        <w:tc>
          <w:tcPr>
            <w:tcW w:w="14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Schedule</w:t>
            </w:r>
          </w:p>
        </w:tc>
      </w:tr>
      <w:tr>
        <w:trPr/>
        <w:tc>
          <w:tcPr>
            <w:tcW w:w="28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Fantastic Tames – Cerberax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DLC Creature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Q3 2026</w:t>
            </w:r>
          </w:p>
        </w:tc>
      </w:tr>
      <w:tr>
        <w:trPr/>
        <w:tc>
          <w:tcPr>
            <w:tcW w:w="28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Fantastic Tames – Enigmasour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2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DLC Creature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Q4 2026</w:t>
            </w:r>
          </w:p>
        </w:tc>
      </w:tr>
      <w:tr>
        <w:trPr/>
        <w:tc>
          <w:tcPr>
            <w:tcW w:w="28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Dragontopia (content updates)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DLC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Q3 &amp; Q4 2026</w:t>
            </w:r>
          </w:p>
        </w:tc>
      </w:tr>
      <w:tr>
        <w:trPr/>
        <w:tc>
          <w:tcPr>
            <w:tcW w:w="28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ARK Maker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2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Content Creation Tool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8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Survival of the Fittest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Game Mode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8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PixARK: Terracrypt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2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 Nintendo Switch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PixARK DLC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8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PixARK Worlds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 Nintendo Switch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Title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2027</w:t>
            </w:r>
          </w:p>
        </w:tc>
      </w:tr>
      <w:tr>
        <w:trPr/>
        <w:tc>
          <w:tcPr>
            <w:tcW w:w="28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Atlantis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2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DLC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2027</w:t>
            </w:r>
          </w:p>
        </w:tc>
      </w:tr>
      <w:tr>
        <w:trPr/>
        <w:tc>
          <w:tcPr>
            <w:tcW w:w="28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Galaxy Wars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DLC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2027</w:t>
            </w:r>
          </w:p>
        </w:tc>
      </w:tr>
      <w:tr>
        <w:trPr/>
        <w:tc>
          <w:tcPr>
            <w:tcW w:w="288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ARK Legacy of Santiago</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2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 Xbox, PlayStation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ASA DLC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2027</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5025" cy="1266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05025" cy="12668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Diversified Content Pipeline</w:t>
      </w:r>
    </w:p>
    <w:p>
      <w:pPr>
        <w:pStyle w:val="TextBody"/>
        <w:bidi w:val="0"/>
        <w:spacing w:before="0" w:after="0"/>
        <w:jc w:val="left"/>
        <w:rPr>
          <w:caps w:val="false"/>
          <w:smallCaps w:val="false"/>
        </w:rPr>
      </w:pPr>
      <w:r>
        <w:rPr>
          <w:caps w:val="false"/>
          <w:smallCaps w:val="false"/>
        </w:rPr>
        <w:t> </w:t>
      </w:r>
    </w:p>
    <w:tbl>
      <w:tblPr>
        <w:tblW w:w="5990" w:type="dxa"/>
        <w:jc w:val="left"/>
        <w:tblInd w:w="0" w:type="dxa"/>
        <w:tblLayout w:type="fixed"/>
        <w:tblCellMar>
          <w:top w:w="0" w:type="dxa"/>
          <w:left w:w="0" w:type="dxa"/>
          <w:bottom w:w="28" w:type="dxa"/>
          <w:right w:w="0" w:type="dxa"/>
        </w:tblCellMar>
      </w:tblPr>
      <w:tblGrid>
        <w:gridCol w:w="2615"/>
        <w:gridCol w:w="60"/>
        <w:gridCol w:w="860"/>
        <w:gridCol w:w="60"/>
        <w:gridCol w:w="860"/>
        <w:gridCol w:w="60"/>
        <w:gridCol w:w="1475"/>
      </w:tblGrid>
      <w:tr>
        <w:trPr/>
        <w:tc>
          <w:tcPr>
            <w:tcW w:w="26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Platforms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Schedule</w:t>
            </w:r>
          </w:p>
        </w:tc>
      </w:tr>
      <w:tr>
        <w:trPr/>
        <w:tc>
          <w:tcPr>
            <w:tcW w:w="26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Dead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Indie Title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6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Honeycomb: The World Beyond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Indie Title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6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Veil of Madness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Indie Title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w:t>
            </w:r>
          </w:p>
        </w:tc>
      </w:tr>
      <w:tr>
        <w:trPr/>
        <w:tc>
          <w:tcPr>
            <w:tcW w:w="26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Gobby Gang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Indie Title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2027</w:t>
            </w:r>
          </w:p>
        </w:tc>
      </w:tr>
      <w:tr>
        <w:trPr/>
        <w:tc>
          <w:tcPr>
            <w:tcW w:w="26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Stars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AAA Title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TBD</w:t>
            </w:r>
          </w:p>
        </w:tc>
      </w:tr>
      <w:tr>
        <w:trPr/>
        <w:tc>
          <w:tcPr>
            <w:tcW w:w="26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 Yin Sutra: Immortal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AAA Title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TBD</w:t>
            </w:r>
          </w:p>
        </w:tc>
      </w:tr>
      <w:tr>
        <w:trPr/>
        <w:tc>
          <w:tcPr>
            <w:tcW w:w="26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 Yin Sutra: Wushu</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Steam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AAA Title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TBD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Over the last several months, we have begun executing against the robust gaming pipeline we previously outlined, which has established a strong foundation for the second half of 2026,” said Snail CEO Hai Shi. “During the second quarter, we launched the </w:t>
      </w:r>
      <w:r>
        <w:rPr>
          <w:rFonts w:ascii="Times New Roman;Times;Serif" w:hAnsi="Times New Roman;Times;Serif"/>
          <w:b w:val="false"/>
          <w:i/>
          <w:caps w:val="false"/>
          <w:smallCaps w:val="false"/>
          <w:sz w:val="20"/>
        </w:rPr>
        <w:t>ARK: Fantastic Tames Season 1 Pack</w:t>
      </w:r>
      <w:r>
        <w:rPr>
          <w:rFonts w:ascii="Times New Roman;Times;Serif" w:hAnsi="Times New Roman;Times;Serif"/>
          <w:b w:val="false"/>
          <w:i w:val="false"/>
          <w:caps w:val="false"/>
          <w:smallCaps w:val="false"/>
          <w:sz w:val="20"/>
        </w:rPr>
        <w:t xml:space="preserve"> and brought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to Xbox and PlayStation, with the console launch providing an important contribution during an otherwise measured quarter for new game releases. Shortly after the second quarter ended, we released three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DLC expansion maps: </w:t>
      </w:r>
      <w:r>
        <w:rPr>
          <w:rFonts w:ascii="Times New Roman;Times;Serif" w:hAnsi="Times New Roman;Times;Serif"/>
          <w:b w:val="false"/>
          <w:i/>
          <w:caps w:val="false"/>
          <w:smallCaps w:val="false"/>
          <w:sz w:val="20"/>
        </w:rPr>
        <w:t>Tides of Fortune, Genesis Part 1 Ascended,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Dragontopia</w:t>
      </w:r>
      <w:r>
        <w:rPr>
          <w:rFonts w:ascii="Times New Roman;Times;Serif" w:hAnsi="Times New Roman;Times;Serif"/>
          <w:b w:val="false"/>
          <w:i w:val="false"/>
          <w:caps w:val="false"/>
          <w:smallCaps w:val="false"/>
          <w:sz w:val="20"/>
        </w:rPr>
        <w:t xml:space="preserve">. These launches, together with our broader slate of planned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content, have established a strong foundation for the rest of the year. Additionally, we continue to invest in our next generation of internally developed AAA titles, which we view as critical drivers of Snail’s long-term growth profile. </w:t>
      </w:r>
      <w:r>
        <w:rPr>
          <w:rFonts w:ascii="Times New Roman;Times;Serif" w:hAnsi="Times New Roman;Times;Serif"/>
          <w:b w:val="false"/>
          <w:i/>
          <w:caps w:val="false"/>
          <w:smallCaps w:val="false"/>
          <w:sz w:val="20"/>
        </w:rPr>
        <w:t>For The Stars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9 Yin Sutra Immortal </w:t>
      </w:r>
      <w:r>
        <w:rPr>
          <w:rFonts w:ascii="Times New Roman;Times;Serif" w:hAnsi="Times New Roman;Times;Serif"/>
          <w:b w:val="false"/>
          <w:i w:val="false"/>
          <w:caps w:val="false"/>
          <w:smallCaps w:val="false"/>
          <w:sz w:val="20"/>
        </w:rPr>
        <w:t>were showcased across select gaming events over the past several months, demonstrating meaningful development progress and growing visibility for these titles as they move through the later stages of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Operationally, we have made significant progress across a new developing initiative that expands beyond traditional game development and publishing. Just last week, we announced our attendance at the Ai4 2026 conference, where we unveiled the AI Ranch initiative and our new product in development called Non-Human Player (NHP), an AI companion product for consumers designed to learn, adapt, and interact like a real human teammate. NHP is designed to deliver a personalized gaming experience tailored to each user’s playstyle. We believe this technology has the potential to address key challenges casual and hardcore gamers face while creating a personalized AI companion that can help players enjoy and improve their gaming experience across multiple titles.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outlook for the second half of 2026 remains strong as we continue to execute across multiple gaming pipelines and business opportunities. With a strong slate of ARK content through 2027, meaningful progress across three upcoming AAA titles, and the introduction of new business initiatives, we are well-positioned to support the transformation of Snail’s profile over the next several quarters.”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5025" cy="1266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05025" cy="12668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val="false"/>
          <w:i w:val="false"/>
          <w:caps w:val="false"/>
          <w:smallCaps w:val="false"/>
          <w:sz w:val="20"/>
        </w:rPr>
        <w:t xml:space="preserve"> were $19.7 million compared to $22.2 million in the same period last year. The decrease was primarily due to a $4.2 million decrease in sales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a decrease of $1.8 million from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 decrease of $0.4 million from </w:t>
      </w:r>
      <w:r>
        <w:rPr>
          <w:rFonts w:ascii="Times New Roman;Times;Serif" w:hAnsi="Times New Roman;Times;Serif"/>
          <w:b w:val="false"/>
          <w:i/>
          <w:caps w:val="false"/>
          <w:smallCaps w:val="false"/>
          <w:sz w:val="20"/>
        </w:rPr>
        <w:t>ARK: Ultimate Mobile Edition</w:t>
      </w:r>
      <w:r>
        <w:rPr>
          <w:rFonts w:ascii="Times New Roman;Times;Serif" w:hAnsi="Times New Roman;Times;Serif"/>
          <w:b w:val="false"/>
          <w:i w:val="false"/>
          <w:caps w:val="false"/>
          <w:smallCaps w:val="false"/>
          <w:sz w:val="20"/>
        </w:rPr>
        <w:t xml:space="preserve">, a decrease of $0.2 million from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and a decrease of $0.2 million from other various titles, offset by an increase in revenues related to </w:t>
      </w:r>
      <w:r>
        <w:rPr>
          <w:rFonts w:ascii="Times New Roman;Times;Serif" w:hAnsi="Times New Roman;Times;Serif"/>
          <w:b w:val="false"/>
          <w:i/>
          <w:caps w:val="false"/>
          <w:smallCaps w:val="false"/>
          <w:sz w:val="20"/>
        </w:rPr>
        <w:t>Bellwright of</w:t>
      </w:r>
      <w:r>
        <w:rPr>
          <w:rFonts w:ascii="Times New Roman;Times;Serif" w:hAnsi="Times New Roman;Times;Serif"/>
          <w:b w:val="false"/>
          <w:i w:val="false"/>
          <w:caps w:val="false"/>
          <w:smallCaps w:val="false"/>
          <w:sz w:val="20"/>
        </w:rPr>
        <w:t xml:space="preserve"> $1.5 million and $2.8 million change in deferred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units sold</w:t>
      </w:r>
      <w:r>
        <w:rPr>
          <w:rFonts w:ascii="Times New Roman;Times;Serif" w:hAnsi="Times New Roman;Times;Serif"/>
          <w:b w:val="false"/>
          <w:i w:val="false"/>
          <w:caps w:val="false"/>
          <w:smallCaps w:val="false"/>
          <w:sz w:val="20"/>
        </w:rPr>
        <w:t xml:space="preserve"> were 2.0 million units compared to 2.1 million units in the same period last year, primarily driven by lower sales of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titles of 0.2 million units, partially offset by an increase in sales of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of 0.1 million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w:t>
      </w:r>
      <w:r>
        <w:rPr>
          <w:rFonts w:ascii="Times New Roman;Times;Serif" w:hAnsi="Times New Roman;Times;Serif"/>
          <w:b w:val="false"/>
          <w:i w:val="false"/>
          <w:caps w:val="false"/>
          <w:smallCaps w:val="false"/>
          <w:sz w:val="20"/>
        </w:rPr>
        <w:t>improved 81.6% to $3.0 million compared to a net loss of $16.6 million in the same period last year. The increase was primarily due to a reduction of $14.0 million in the income tax provision from the prior-year quarter and an improvement in gross profit, partially offset by higher general and administrative and research and development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Bookings</w:t>
      </w:r>
      <w:r>
        <w:rPr>
          <w:rFonts w:ascii="Times New Roman;Times;Serif" w:hAnsi="Times New Roman;Times;Serif"/>
          <w:b w:val="false"/>
          <w:i w:val="false"/>
          <w:caps w:val="false"/>
          <w:smallCaps w:val="false"/>
          <w:sz w:val="20"/>
        </w:rPr>
        <w:t xml:space="preserve"> were $21.8 million compared to $27.1 million in the same period last year. The decrease was primarily due to lower sales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partially offset by bookings generated from </w:t>
      </w:r>
      <w:r>
        <w:rPr>
          <w:rFonts w:ascii="Times New Roman;Times;Serif" w:hAnsi="Times New Roman;Times;Serif"/>
          <w:b w:val="false"/>
          <w:i/>
          <w:caps w:val="false"/>
          <w:smallCaps w:val="false"/>
          <w:sz w:val="20"/>
        </w:rPr>
        <w:t>Bellwright.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xml:space="preserve"> was $(3.0) million compared to $(2.4) million in the same period last year. The decrease was primarily due to an improvement in net loss of $13.5 million and a decrease in depreciation expense of $0.1 million, more than offset by a decrease in the provision of income taxes of $14.0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2026 Financial Highlights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val="false"/>
          <w:i w:val="false"/>
          <w:caps w:val="false"/>
          <w:smallCaps w:val="false"/>
          <w:sz w:val="20"/>
        </w:rPr>
        <w:t xml:space="preserve"> increased 11.1% to $47.0 million compared to $42.3 million in the same period last year. The increase was primarily attributed to a $3.6 million increase in sales of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and a $5.3 million change in deferred revenues, partially offset by a decrease in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 xml:space="preserve">revenue of $2.7 million and a decrease of $1.4 million attributable to lower sales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units sold</w:t>
      </w:r>
      <w:r>
        <w:rPr>
          <w:rFonts w:ascii="Times New Roman;Times;Serif" w:hAnsi="Times New Roman;Times;Serif"/>
          <w:b w:val="false"/>
          <w:i w:val="false"/>
          <w:caps w:val="false"/>
          <w:smallCaps w:val="false"/>
          <w:sz w:val="20"/>
        </w:rPr>
        <w:t xml:space="preserve"> increased 13.8% to 4.2 million units compared to 3.7 million units in the same period last year. The increase was primarily due to increased sales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of 1.0 million units and an increase in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of 0.2 million units; partially offset by a decrease in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sales of 0.7 million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improved 95.1% to $(0.9) million compared to $(18.5) million in the same period last year. The improvement was primarily due to the absence of the $12.4 million income tax provision recorded in the prior-year period, which resulted from the valuation allowance recognized against the Company’s deferred tax assets, together with a $6.5 million improvement in gross profit.</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5025" cy="1266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05025" cy="12668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Bookings</w:t>
      </w:r>
      <w:r>
        <w:rPr>
          <w:rFonts w:ascii="Times New Roman;Times;Serif" w:hAnsi="Times New Roman;Times;Serif"/>
          <w:b w:val="false"/>
          <w:i w:val="false"/>
          <w:caps w:val="false"/>
          <w:smallCaps w:val="false"/>
          <w:sz w:val="20"/>
        </w:rPr>
        <w:t xml:space="preserve"> were $48.7 million compared to $49.4 million in the same period last year. The decrease was primarily due to lower sales of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as the title continued to mature and consumer demand shifted toward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and its related downloadable content, partially offset by increased sales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which benefited from promotional pricing during the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xml:space="preserve"> improved 88.8% to $(0.6) million compared to $(5.8) million in the same period last year. The improvement was primarily due to an improvement in net loss of $17.6 million, partially offset by a decrease in the provision for income taxes of $12.4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t>
      </w:r>
      <w:r>
        <w:rPr>
          <w:rFonts w:ascii="Times New Roman;Times;Serif" w:hAnsi="Times New Roman;Times;Serif"/>
          <w:b/>
          <w:i w:val="false"/>
          <w:caps w:val="false"/>
          <w:smallCaps w:val="false"/>
          <w:sz w:val="20"/>
        </w:rPr>
        <w:t>unrestricted cash</w:t>
      </w:r>
      <w:r>
        <w:rPr>
          <w:rFonts w:ascii="Times New Roman;Times;Serif" w:hAnsi="Times New Roman;Times;Serif"/>
          <w:b w:val="false"/>
          <w:i w:val="false"/>
          <w:caps w:val="false"/>
          <w:smallCaps w:val="false"/>
          <w:sz w:val="20"/>
        </w:rPr>
        <w:t xml:space="preserve"> was $13.3 million compared to $8.6 million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financial results determined in accordance with U.S. generally accepted accounting principles, or GAAP, Snail believes Bookings and EBITDA, as non-GAAP measures, are useful in evaluating its operating performance. Bookings and EBITDA are non-GAAP financial measures that are presented as supplemental disclosures and should not be construed as alternatives to net income (loss) or revenue as indicators of operating performance, nor as alternatives to cash flow provided by operating activities as measures of liquidity, both as determined in accordance with GAAP. Snail supplementally presents Bookings and EBITDA because they are key operating measures used by management to assess financial performance. Bookings adjusts for the impact of deferrals and, Snail believes, provides a useful indicator of sales in a given period. Management believes Bookings and EBITDA are useful to investors and analysts in highlighting trends in Snail’s operating performance. At the same time, other measures can differ significantly depending on long-term strategic decisions regarding capital structure, the tax jurisdictions in which Snail operates, and capital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Bookings is defined as the net amount of products and services sold digitally or physically in the period. Bookings is equal to revenues, excluding the impact from deferrals. Below is a reconciliation of total net revenue to Bookings, the closest GAAP financial measure.</w:t>
      </w:r>
    </w:p>
    <w:p>
      <w:pPr>
        <w:pStyle w:val="TextBody"/>
        <w:bidi w:val="0"/>
        <w:spacing w:before="0" w:after="0"/>
        <w:jc w:val="both"/>
        <w:rPr>
          <w:caps w:val="false"/>
          <w:smallCaps w:val="false"/>
        </w:rPr>
      </w:pPr>
      <w:r>
        <w:rPr>
          <w:caps w:val="false"/>
          <w:smallCaps w:val="false"/>
        </w:rPr>
        <w:t> </w:t>
      </w:r>
    </w:p>
    <w:tbl>
      <w:tblPr>
        <w:tblW w:w="9204" w:type="dxa"/>
        <w:jc w:val="left"/>
        <w:tblInd w:w="0" w:type="dxa"/>
        <w:tblLayout w:type="fixed"/>
        <w:tblCellMar>
          <w:top w:w="0" w:type="dxa"/>
          <w:left w:w="0" w:type="dxa"/>
          <w:bottom w:w="0" w:type="dxa"/>
          <w:right w:w="0" w:type="dxa"/>
        </w:tblCellMar>
      </w:tblPr>
      <w:tblGrid>
        <w:gridCol w:w="3005"/>
        <w:gridCol w:w="60"/>
        <w:gridCol w:w="341"/>
        <w:gridCol w:w="1074"/>
        <w:gridCol w:w="146"/>
        <w:gridCol w:w="146"/>
        <w:gridCol w:w="341"/>
        <w:gridCol w:w="1074"/>
        <w:gridCol w:w="60"/>
        <w:gridCol w:w="60"/>
        <w:gridCol w:w="308"/>
        <w:gridCol w:w="971"/>
        <w:gridCol w:w="132"/>
        <w:gridCol w:w="132"/>
        <w:gridCol w:w="308"/>
        <w:gridCol w:w="971"/>
        <w:gridCol w:w="7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vAlign w:val="center"/>
          </w:tcPr>
          <w:p>
            <w:pPr>
              <w:pStyle w:val="TableContents"/>
              <w:bidi w:val="0"/>
              <w:spacing w:before="0" w:after="283"/>
              <w:jc w:val="center"/>
              <w:rPr>
                <w:b/>
              </w:rPr>
            </w:pPr>
            <w:r>
              <w:rPr>
                <w:b/>
              </w:rPr>
              <w:t>(in millions)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vAlign w:val="center"/>
          </w:tcPr>
          <w:p>
            <w:pPr>
              <w:pStyle w:val="TableContents"/>
              <w:bidi w:val="0"/>
              <w:spacing w:before="0" w:after="283"/>
              <w:jc w:val="center"/>
              <w:rPr>
                <w:b/>
              </w:rPr>
            </w:pPr>
            <w:r>
              <w:rPr>
                <w:b/>
              </w:rPr>
              <w:t>(in millions)</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Total net revenue</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19.7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47.0</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42.3</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Change in deferred net revenue</w:t>
            </w:r>
          </w:p>
        </w:tc>
        <w:tc>
          <w:tcPr>
            <w:tcW w:w="60" w:type="dxa"/>
            <w:tcBorders/>
            <w:shd w:fill="FFFFFF" w:val="clear"/>
            <w:vAlign w:val="center"/>
          </w:tcPr>
          <w:p>
            <w:pPr>
              <w:pStyle w:val="TableContents"/>
              <w:bidi w:val="0"/>
              <w:spacing w:before="0" w:after="283"/>
              <w:jc w:val="left"/>
              <w:rPr/>
            </w:pPr>
            <w:r>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pPr>
            <w:r>
              <w:rPr/>
              <w:t>1.7</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pPr>
            <w:r>
              <w:rPr/>
              <w:t>7.1</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Bookings</w:t>
            </w:r>
          </w:p>
        </w:tc>
        <w:tc>
          <w:tcPr>
            <w:tcW w:w="60" w:type="dxa"/>
            <w:tcBorders/>
            <w:shd w:fill="CCEEFF" w:val="clear"/>
            <w:vAlign w:val="center"/>
          </w:tcPr>
          <w:p>
            <w:pPr>
              <w:pStyle w:val="TableContents"/>
              <w:bidi w:val="0"/>
              <w:spacing w:before="0" w:after="283"/>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21.8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pPr>
            <w:r>
              <w:rPr/>
              <w:t>48.7</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pPr>
            <w:r>
              <w:rPr/>
              <w:t>49.4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5025" cy="1266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05025" cy="12668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EBITDA as net income (loss) before (i) interest expense, (ii) interest income, (iii) provision for (benefit from) income taxes and (iv) depreciation expense. The following table provides a reconciliation from net income (loss) to EBITDA:</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81"/>
        <w:gridCol w:w="60"/>
        <w:gridCol w:w="299"/>
        <w:gridCol w:w="845"/>
        <w:gridCol w:w="202"/>
        <w:gridCol w:w="128"/>
        <w:gridCol w:w="299"/>
        <w:gridCol w:w="1102"/>
        <w:gridCol w:w="95"/>
        <w:gridCol w:w="60"/>
        <w:gridCol w:w="272"/>
        <w:gridCol w:w="769"/>
        <w:gridCol w:w="184"/>
        <w:gridCol w:w="116"/>
        <w:gridCol w:w="272"/>
        <w:gridCol w:w="1003"/>
        <w:gridCol w:w="118"/>
      </w:tblGrid>
      <w:tr>
        <w:trPr/>
        <w:tc>
          <w:tcPr>
            <w:tcW w:w="43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8" w:type="dxa"/>
            <w:tcBorders/>
            <w:vAlign w:val="center"/>
          </w:tcPr>
          <w:p>
            <w:pPr>
              <w:pStyle w:val="TableContents"/>
              <w:bidi w:val="0"/>
              <w:spacing w:before="0" w:after="283"/>
              <w:jc w:val="left"/>
              <w:rPr/>
            </w:pPr>
            <w:r>
              <w:rPr/>
              <w:t> </w:t>
            </w:r>
          </w:p>
        </w:tc>
      </w:tr>
      <w:tr>
        <w:trPr/>
        <w:tc>
          <w:tcPr>
            <w:tcW w:w="43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2"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8" w:type="dxa"/>
            <w:tcBorders/>
            <w:vAlign w:val="center"/>
          </w:tcPr>
          <w:p>
            <w:pPr>
              <w:pStyle w:val="TableContents"/>
              <w:bidi w:val="0"/>
              <w:spacing w:before="0" w:after="283"/>
              <w:jc w:val="left"/>
              <w:rPr/>
            </w:pPr>
            <w:r>
              <w:rPr/>
              <w:t> </w:t>
            </w:r>
          </w:p>
        </w:tc>
      </w:tr>
      <w:tr>
        <w:trPr/>
        <w:tc>
          <w:tcPr>
            <w:tcW w:w="43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vAlign w:val="center"/>
          </w:tcPr>
          <w:p>
            <w:pPr>
              <w:pStyle w:val="TableContents"/>
              <w:bidi w:val="0"/>
              <w:spacing w:before="0" w:after="283"/>
              <w:jc w:val="center"/>
              <w:rPr>
                <w:b/>
              </w:rPr>
            </w:pPr>
            <w:r>
              <w:rPr>
                <w:b/>
              </w:rPr>
              <w:t>(in millions)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6" w:type="dxa"/>
            <w:gridSpan w:val="6"/>
            <w:tcBorders/>
            <w:vAlign w:val="center"/>
          </w:tcPr>
          <w:p>
            <w:pPr>
              <w:pStyle w:val="TableContents"/>
              <w:bidi w:val="0"/>
              <w:spacing w:before="0" w:after="283"/>
              <w:jc w:val="center"/>
              <w:rPr>
                <w:b/>
              </w:rPr>
            </w:pPr>
            <w:r>
              <w:rPr>
                <w:b/>
              </w:rPr>
              <w:t>(in millions)</w:t>
            </w:r>
          </w:p>
        </w:tc>
        <w:tc>
          <w:tcPr>
            <w:tcW w:w="118" w:type="dxa"/>
            <w:tcBorders/>
            <w:vAlign w:val="center"/>
          </w:tcPr>
          <w:p>
            <w:pPr>
              <w:pStyle w:val="TableContents"/>
              <w:bidi w:val="0"/>
              <w:spacing w:before="0" w:after="283"/>
              <w:jc w:val="left"/>
              <w:rPr/>
            </w:pPr>
            <w:r>
              <w:rPr/>
              <w:t> </w:t>
            </w:r>
          </w:p>
        </w:tc>
      </w:tr>
      <w:tr>
        <w:trPr/>
        <w:tc>
          <w:tcPr>
            <w:tcW w:w="438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(3.0</w:t>
            </w:r>
          </w:p>
        </w:tc>
        <w:tc>
          <w:tcPr>
            <w:tcW w:w="202"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769" w:type="dxa"/>
            <w:tcBorders/>
            <w:shd w:fill="CCEEFF" w:val="clear"/>
            <w:vAlign w:val="center"/>
          </w:tcPr>
          <w:p>
            <w:pPr>
              <w:pStyle w:val="TableContents"/>
              <w:bidi w:val="0"/>
              <w:spacing w:before="0" w:after="283"/>
              <w:jc w:val="right"/>
              <w:rPr/>
            </w:pPr>
            <w:r>
              <w:rPr/>
              <w:t>(0.9</w:t>
            </w:r>
          </w:p>
        </w:tc>
        <w:tc>
          <w:tcPr>
            <w:tcW w:w="184"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(18.5</w:t>
            </w:r>
          </w:p>
        </w:tc>
        <w:tc>
          <w:tcPr>
            <w:tcW w:w="118" w:type="dxa"/>
            <w:tcBorders/>
            <w:shd w:fill="CCEEFF" w:val="clear"/>
            <w:vAlign w:val="center"/>
          </w:tcPr>
          <w:p>
            <w:pPr>
              <w:pStyle w:val="TableContents"/>
              <w:bidi w:val="0"/>
              <w:spacing w:before="0" w:after="283"/>
              <w:jc w:val="left"/>
              <w:rPr/>
            </w:pPr>
            <w:r>
              <w:rPr/>
              <w:t>)</w:t>
            </w:r>
          </w:p>
        </w:tc>
      </w:tr>
      <w:tr>
        <w:trPr/>
        <w:tc>
          <w:tcPr>
            <w:tcW w:w="4381" w:type="dxa"/>
            <w:tcBorders/>
            <w:shd w:fill="FFFFFF" w:val="clear"/>
            <w:vAlign w:val="center"/>
          </w:tcPr>
          <w:p>
            <w:pPr>
              <w:pStyle w:val="TableContents"/>
              <w:bidi w:val="0"/>
              <w:spacing w:before="0" w:after="283"/>
              <w:jc w:val="left"/>
              <w:rPr/>
            </w:pPr>
            <w:r>
              <w:rPr/>
              <w:t>Interest income and interest income – related parties</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(0.1</w:t>
            </w:r>
          </w:p>
        </w:tc>
        <w:tc>
          <w:tcPr>
            <w:tcW w:w="202"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(0.1</w:t>
            </w:r>
          </w:p>
        </w:tc>
        <w:tc>
          <w:tcPr>
            <w:tcW w:w="184" w:type="dxa"/>
            <w:tcBorders/>
            <w:shd w:fill="FFFFFF" w:val="clear"/>
            <w:vAlign w:val="center"/>
          </w:tcPr>
          <w:p>
            <w:pPr>
              <w:pStyle w:val="TableContents"/>
              <w:bidi w:val="0"/>
              <w:spacing w:before="0" w:after="283"/>
              <w:jc w:val="left"/>
              <w:rPr/>
            </w:pPr>
            <w:r>
              <w:rPr/>
              <w:t>)</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(0.1</w:t>
            </w:r>
          </w:p>
        </w:tc>
        <w:tc>
          <w:tcPr>
            <w:tcW w:w="118" w:type="dxa"/>
            <w:tcBorders/>
            <w:shd w:fill="FFFFFF" w:val="clear"/>
            <w:vAlign w:val="center"/>
          </w:tcPr>
          <w:p>
            <w:pPr>
              <w:pStyle w:val="TableContents"/>
              <w:bidi w:val="0"/>
              <w:spacing w:before="0" w:after="283"/>
              <w:jc w:val="left"/>
              <w:rPr/>
            </w:pPr>
            <w:r>
              <w:rPr/>
              <w:t>)</w:t>
            </w:r>
          </w:p>
        </w:tc>
      </w:tr>
      <w:tr>
        <w:trPr/>
        <w:tc>
          <w:tcPr>
            <w:tcW w:w="4381"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0.2</w:t>
            </w:r>
          </w:p>
        </w:tc>
        <w:tc>
          <w:tcPr>
            <w:tcW w:w="202"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0.4</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0.3</w:t>
            </w:r>
          </w:p>
        </w:tc>
        <w:tc>
          <w:tcPr>
            <w:tcW w:w="118" w:type="dxa"/>
            <w:tcBorders/>
            <w:shd w:fill="CCEEFF"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pPr>
            <w:r>
              <w:rPr/>
              <w:t>(Benefit from) provision for income taxes</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(0.1</w:t>
            </w:r>
          </w:p>
        </w:tc>
        <w:tc>
          <w:tcPr>
            <w:tcW w:w="202"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w:t>
            </w:r>
          </w:p>
        </w:tc>
        <w:tc>
          <w:tcPr>
            <w:tcW w:w="18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12.4</w:t>
            </w:r>
          </w:p>
        </w:tc>
        <w:tc>
          <w:tcPr>
            <w:tcW w:w="118" w:type="dxa"/>
            <w:tcBorders/>
            <w:shd w:fill="FFFFFF" w:val="clear"/>
            <w:vAlign w:val="center"/>
          </w:tcPr>
          <w:p>
            <w:pPr>
              <w:pStyle w:val="TableContents"/>
              <w:bidi w:val="0"/>
              <w:spacing w:before="0" w:after="283"/>
              <w:jc w:val="left"/>
              <w:rPr/>
            </w:pPr>
            <w:r>
              <w:rPr/>
              <w:t> </w:t>
            </w:r>
          </w:p>
        </w:tc>
      </w:tr>
      <w:tr>
        <w:trPr/>
        <w:tc>
          <w:tcPr>
            <w:tcW w:w="4381"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2"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8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118" w:type="dxa"/>
            <w:tcBorders/>
            <w:shd w:fill="CCEEFF"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202"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69" w:type="dxa"/>
            <w:tcBorders>
              <w:bottom w:val="double" w:sz="6" w:space="0" w:color="000000"/>
            </w:tcBorders>
            <w:shd w:fill="FFFFFF" w:val="clear"/>
            <w:tcMar>
              <w:bottom w:w="28" w:type="dxa"/>
            </w:tcMar>
            <w:vAlign w:val="center"/>
          </w:tcPr>
          <w:p>
            <w:pPr>
              <w:pStyle w:val="TableContents"/>
              <w:bidi w:val="0"/>
              <w:spacing w:before="0" w:after="283"/>
              <w:jc w:val="right"/>
              <w:rPr/>
            </w:pPr>
            <w:r>
              <w:rPr/>
              <w:t>(0.6</w:t>
            </w:r>
          </w:p>
        </w:tc>
        <w:tc>
          <w:tcPr>
            <w:tcW w:w="184" w:type="dxa"/>
            <w:tcBorders/>
            <w:shd w:fill="FFFFFF" w:val="clear"/>
            <w:vAlign w:val="center"/>
          </w:tcPr>
          <w:p>
            <w:pPr>
              <w:pStyle w:val="TableContents"/>
              <w:bidi w:val="0"/>
              <w:spacing w:before="0" w:after="283"/>
              <w:jc w:val="left"/>
              <w:rPr/>
            </w:pPr>
            <w:r>
              <w:rPr/>
              <w:t>)</w:t>
            </w:r>
          </w:p>
        </w:tc>
        <w:tc>
          <w:tcPr>
            <w:tcW w:w="11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3" w:type="dxa"/>
            <w:tcBorders>
              <w:bottom w:val="double" w:sz="6" w:space="0" w:color="000000"/>
            </w:tcBorders>
            <w:shd w:fill="FFFFFF" w:val="clear"/>
            <w:tcMar>
              <w:bottom w:w="28" w:type="dxa"/>
            </w:tcMar>
            <w:vAlign w:val="center"/>
          </w:tcPr>
          <w:p>
            <w:pPr>
              <w:pStyle w:val="TableContents"/>
              <w:bidi w:val="0"/>
              <w:spacing w:before="0" w:after="283"/>
              <w:jc w:val="right"/>
              <w:rPr/>
            </w:pPr>
            <w:r>
              <w:rPr/>
              <w:t>(5.8</w:t>
            </w:r>
          </w:p>
        </w:tc>
        <w:tc>
          <w:tcPr>
            <w:tcW w:w="118"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Details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a webcast at 4:30 PM ET today to discuss its second quarter 2026 financial and operational results. Participants may access the live webcast and replay via the link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on the Company’s investor relations website at </w:t>
      </w:r>
      <w:r>
        <w:rPr>
          <w:rFonts w:ascii="Times New Roman;Times;Serif" w:hAnsi="Times New Roman;Times;Serif"/>
          <w:b w:val="false"/>
          <w:i w:val="false"/>
          <w:caps w:val="false"/>
          <w:smallCaps w:val="false"/>
          <w:sz w:val="20"/>
          <w:u w:val="single"/>
        </w:rPr>
        <w:t>https://investor.snail.com/.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Snail,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Snail, Inc. (Nasdaq: SNAL) is a leading, global independent developer and publisher of interactive digital entertainment for consumers around the world, with a premier portfolio of premium games designed for use on a variety of platforms, including consoles, PCs, and mobile devices. For more information, please visit: </w:t>
      </w:r>
      <w:r>
        <w:rPr>
          <w:rFonts w:ascii="Times New Roman;Times;Serif" w:hAnsi="Times New Roman;Times;Serif"/>
          <w:b w:val="false"/>
          <w:i w:val="false"/>
          <w:caps w:val="false"/>
          <w:smallCaps w:val="false"/>
          <w:sz w:val="20"/>
          <w:u w:val="single"/>
        </w:rPr>
        <w:t>https://snail.com/.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statements that constitute forward-looking statements. Many of the forward-looking statements contained in this press release can be identified by the use of forward-looking words such as “anticipate,” “believe,” “could,” “expect,” “should,” “plan,” “intend,” “may,” “predict,” “continue,” “estimate” and “potential,” or the negative of these terms or other similar expressions. Forward-looking statements appear in a number of places in this press release and include, but are not limited to, statements regarding Snail’s intent, belief or current expectations. These forward-looking statements include information about possible or assumed future results of Snail’s business, financial condition, results of operations, liquidity, plans and objectives. The statements Snail makes regarding the following matters are forward-looking by their nature: recent game launches and the Company’s broader slate of planned content establishing a strong foundation for the rest of the year; the Company’s next generation of internally developed AAA titles serving as critical drivers of Snail’s long-term growth profile; the </w:t>
      </w:r>
      <w:r>
        <w:rPr>
          <w:rFonts w:ascii="Times New Roman;Times;Serif" w:hAnsi="Times New Roman;Times;Serif"/>
          <w:b w:val="false"/>
          <w:i/>
          <w:caps w:val="false"/>
          <w:smallCaps w:val="false"/>
          <w:sz w:val="20"/>
        </w:rPr>
        <w:t>For The Stars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9 Yin Sutra Immortal</w:t>
      </w:r>
      <w:r>
        <w:rPr>
          <w:rFonts w:ascii="Times New Roman;Times;Serif" w:hAnsi="Times New Roman;Times;Serif"/>
          <w:b w:val="false"/>
          <w:i w:val="false"/>
          <w:caps w:val="false"/>
          <w:smallCaps w:val="false"/>
          <w:sz w:val="20"/>
        </w:rPr>
        <w:t xml:space="preserve"> titles demonstrating meaningful development progress and growing visibility and moving through the later stages of development; the AI Ranch initiative and the development of the Non-Human Player (NHP) product; the Company’s gaming pipeline being well-positioned to support the transformation of the Company’s profile ;the Non-Human Player (NHP) having the potential to address key challenges casual and hardcore gamers face while creating a personalized AI companion that can help players enjoy and improve their gaming experience across multiple titles; and the outlook for the second half of 2026 remaining strong as Snail continues to execute across multiple gaming pipelines and business opportunities.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included herein reflect our current views, and they involve certain risks and uncertainties, including, among others, acceptance of our titles in the marketplace and the successful development, marketing or sale of our titles and our ability to retain our key employees or maintain our Nasdaq listing. These risks should not be construed as exhaustive and should be read together with the other cautionary statement included in our Annual Report on Form 10-K for the year ended December 31, 2025, subsequent Quarterly Reports on Form 10-Q and current reports on Form 8-K filed with the Securities and Exchange Commission. Any forward-looking statement speaks only as of the date on which it was initially made. We undertake no obligation to publicly update or revise any forward-looking statement, whether as a result of new information, future events, changed circumstances or otherwise, unless required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Yi and Steven Shinmachi</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Gateway Group, Inc.</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949-574-3860</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SNAL@gateway-grp.com</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5025" cy="1266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05025" cy="12668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as of June 30, 2026 and December 31, 2025 (Unaudited)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5"/>
        <w:gridCol w:w="60"/>
        <w:gridCol w:w="142"/>
        <w:gridCol w:w="1196"/>
        <w:gridCol w:w="95"/>
        <w:gridCol w:w="60"/>
        <w:gridCol w:w="154"/>
        <w:gridCol w:w="1300"/>
        <w:gridCol w:w="113"/>
      </w:tblGrid>
      <w:tr>
        <w:trPr/>
        <w:tc>
          <w:tcPr>
            <w:tcW w:w="7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December 31, 2025</w:t>
            </w:r>
          </w:p>
        </w:tc>
        <w:tc>
          <w:tcPr>
            <w:tcW w:w="113"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96" w:type="dxa"/>
            <w:tcBorders/>
            <w:shd w:fill="FFFFFF" w:val="clear"/>
            <w:vAlign w:val="center"/>
          </w:tcPr>
          <w:p>
            <w:pPr>
              <w:pStyle w:val="TableContents"/>
              <w:bidi w:val="0"/>
              <w:spacing w:before="0" w:after="283"/>
              <w:jc w:val="right"/>
              <w:rPr/>
            </w:pPr>
            <w:r>
              <w:rPr/>
              <w:t>13,293,820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300" w:type="dxa"/>
            <w:tcBorders/>
            <w:shd w:fill="FFFFFF" w:val="clear"/>
            <w:vAlign w:val="center"/>
          </w:tcPr>
          <w:p>
            <w:pPr>
              <w:pStyle w:val="TableContents"/>
              <w:bidi w:val="0"/>
              <w:spacing w:before="0" w:after="283"/>
              <w:jc w:val="right"/>
              <w:rPr/>
            </w:pPr>
            <w:r>
              <w:rPr/>
              <w:t>8,568,164</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562,000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187,000</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Accounts receivable, net of allowances for credit losses of $523,500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9,345,753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12,528,347</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Loan and interest receivable – related party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108,751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107,759</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5,793,460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2,700,474</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1,621,428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2,232,485</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Prepaid taxes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1,047,870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4,734,007</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31,773,082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31,058,236</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Restricted cash and cash equivalents, net of current portion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1,748,000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1,748,000</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Prepaid expenses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5,582,500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8,282,974</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4,120,607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4,146,175</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3,898,541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3,827,927</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Intangible assets, net – related party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4,416,667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4,916,667</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Other noncurrent assets,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908,408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604,793</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pPr>
            <w:r>
              <w:rPr/>
              <w:t>4,687,027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4,722,366</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FFFFFF" w:val="clear"/>
            <w:tcMar>
              <w:bottom w:w="28" w:type="dxa"/>
            </w:tcMar>
            <w:vAlign w:val="center"/>
          </w:tcPr>
          <w:p>
            <w:pPr>
              <w:pStyle w:val="TableContents"/>
              <w:bidi w:val="0"/>
              <w:spacing w:before="0" w:after="283"/>
              <w:jc w:val="right"/>
              <w:rPr/>
            </w:pPr>
            <w:r>
              <w:rPr/>
              <w:t>57,134,832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pPr>
            <w:r>
              <w:rPr/>
              <w:t>59,307,138</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b/>
              </w:rPr>
            </w:pPr>
            <w:r>
              <w:rPr>
                <w:b/>
              </w:rPr>
              <w:t>LIABILITIES, NONCONTROLLING INTERESTS AND STOCKHOLDERS’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3,926,768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5,506,332</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Accounts payable – related parties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18,426,220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20,067,013</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3,939,436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3,364,150</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Interest payable – related parties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527,770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527,770</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Convertible notes at fair value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568,499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3,842,189</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1,353,296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1,305,880</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Current portion of deferred revenue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28,538,494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14,799,840</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472,345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393,448</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57,752,828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49,806,622</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625,354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468,106</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Revolving loan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5,000,000</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Long-term debt, net of current portion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3,650,745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4,292,538</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5,276,523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17,282,685</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pPr>
            <w:r>
              <w:rPr/>
              <w:t>4,328,864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4,336,240</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74,134,314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81,186,191</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Class A common stock, $0.0001 par value, 500,000,000 shares authorized; 3,363,834 shares issued and 3,093,778 shares outstanding as of June 30, 2026, and 2,076,467 shares issued and 1,806,412 shares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208</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Class B common stock, $0.0001 par value, 100,000,000 shares authorized; 5,749,716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575</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32,732,935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26,926,245</w:t>
            </w:r>
          </w:p>
        </w:tc>
        <w:tc>
          <w:tcPr>
            <w:tcW w:w="11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(295,578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(275,049</w:t>
            </w:r>
          </w:p>
        </w:tc>
        <w:tc>
          <w:tcPr>
            <w:tcW w:w="113" w:type="dxa"/>
            <w:tcBorders/>
            <w:shd w:fill="CCEEFF" w:val="clear"/>
            <w:vAlign w:val="center"/>
          </w:tcPr>
          <w:p>
            <w:pPr>
              <w:pStyle w:val="TableContents"/>
              <w:bidi w:val="0"/>
              <w:spacing w:before="0" w:after="283"/>
              <w:jc w:val="left"/>
              <w:rPr/>
            </w:pPr>
            <w:r>
              <w:rPr/>
              <w:t>)</w:t>
            </w:r>
          </w:p>
        </w:tc>
      </w:tr>
      <w:tr>
        <w:trPr/>
        <w:tc>
          <w:tcPr>
            <w:tcW w:w="708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(40,258,553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(39,352,510</w:t>
            </w:r>
          </w:p>
        </w:tc>
        <w:tc>
          <w:tcPr>
            <w:tcW w:w="113" w:type="dxa"/>
            <w:tcBorders/>
            <w:shd w:fill="FFFFFF" w:val="clear"/>
            <w:vAlign w:val="center"/>
          </w:tcPr>
          <w:p>
            <w:pPr>
              <w:pStyle w:val="TableContents"/>
              <w:bidi w:val="0"/>
              <w:spacing w:before="0" w:after="283"/>
              <w:jc w:val="left"/>
              <w:rPr/>
            </w:pPr>
            <w:r>
              <w:rPr/>
              <w:t>)</w:t>
            </w:r>
          </w:p>
        </w:tc>
      </w:tr>
      <w:tr>
        <w:trPr/>
        <w:tc>
          <w:tcPr>
            <w:tcW w:w="7085" w:type="dxa"/>
            <w:tcBorders/>
            <w:shd w:fill="CCEEFF" w:val="clear"/>
            <w:vAlign w:val="center"/>
          </w:tcPr>
          <w:p>
            <w:pPr>
              <w:pStyle w:val="TableContents"/>
              <w:bidi w:val="0"/>
              <w:spacing w:before="0" w:after="283"/>
              <w:jc w:val="left"/>
              <w:rPr/>
            </w:pPr>
            <w:r>
              <w:rPr/>
              <w:t>Treasury stock at cost (270,055 shares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pPr>
            <w:r>
              <w:rPr/>
              <w:t>(3,671,806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(3,671,806</w:t>
            </w:r>
          </w:p>
        </w:tc>
        <w:tc>
          <w:tcPr>
            <w:tcW w:w="113" w:type="dxa"/>
            <w:tcBorders/>
            <w:shd w:fill="CCEEFF" w:val="clear"/>
            <w:vAlign w:val="center"/>
          </w:tcPr>
          <w:p>
            <w:pPr>
              <w:pStyle w:val="TableContents"/>
              <w:bidi w:val="0"/>
              <w:spacing w:before="0" w:after="283"/>
              <w:jc w:val="left"/>
              <w:rPr/>
            </w:pPr>
            <w:r>
              <w:rPr/>
              <w:t>)</w:t>
            </w:r>
          </w:p>
        </w:tc>
      </w:tr>
      <w:tr>
        <w:trPr/>
        <w:tc>
          <w:tcPr>
            <w:tcW w:w="7085" w:type="dxa"/>
            <w:tcBorders/>
            <w:shd w:fill="FFFFFF" w:val="clear"/>
            <w:vAlign w:val="center"/>
          </w:tcPr>
          <w:p>
            <w:pPr>
              <w:pStyle w:val="TableContents"/>
              <w:bidi w:val="0"/>
              <w:spacing w:before="0" w:after="283"/>
              <w:jc w:val="left"/>
              <w:rPr/>
            </w:pPr>
            <w:r>
              <w:rPr/>
              <w:t>Total Snail, Inc.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(11,492,091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(16,372,337</w:t>
            </w:r>
          </w:p>
        </w:tc>
        <w:tc>
          <w:tcPr>
            <w:tcW w:w="113" w:type="dxa"/>
            <w:tcBorders/>
            <w:shd w:fill="FFFFFF" w:val="clear"/>
            <w:vAlign w:val="center"/>
          </w:tcPr>
          <w:p>
            <w:pPr>
              <w:pStyle w:val="TableContents"/>
              <w:bidi w:val="0"/>
              <w:spacing w:before="0" w:after="283"/>
              <w:jc w:val="left"/>
              <w:rPr/>
            </w:pPr>
            <w:r>
              <w:rPr/>
              <w:t>)</w:t>
            </w:r>
          </w:p>
        </w:tc>
      </w:tr>
      <w:tr>
        <w:trPr/>
        <w:tc>
          <w:tcPr>
            <w:tcW w:w="7085"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CCEEFF" w:val="clear"/>
            <w:tcMar>
              <w:bottom w:w="28" w:type="dxa"/>
            </w:tcMar>
            <w:vAlign w:val="center"/>
          </w:tcPr>
          <w:p>
            <w:pPr>
              <w:pStyle w:val="TableContents"/>
              <w:bidi w:val="0"/>
              <w:spacing w:before="0" w:after="283"/>
              <w:jc w:val="right"/>
              <w:rPr/>
            </w:pPr>
            <w:r>
              <w:rPr/>
              <w:t>(5,507,391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(5,506,716</w:t>
            </w:r>
          </w:p>
        </w:tc>
        <w:tc>
          <w:tcPr>
            <w:tcW w:w="113" w:type="dxa"/>
            <w:tcBorders/>
            <w:shd w:fill="CCEEFF" w:val="clear"/>
            <w:vAlign w:val="center"/>
          </w:tcPr>
          <w:p>
            <w:pPr>
              <w:pStyle w:val="TableContents"/>
              <w:bidi w:val="0"/>
              <w:spacing w:before="0" w:after="283"/>
              <w:jc w:val="left"/>
              <w:rPr/>
            </w:pPr>
            <w:r>
              <w:rPr/>
              <w:t>)</w:t>
            </w:r>
          </w:p>
        </w:tc>
      </w:tr>
      <w:tr>
        <w:trPr/>
        <w:tc>
          <w:tcPr>
            <w:tcW w:w="7085"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(16,999,482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(21,879,053</w:t>
            </w:r>
          </w:p>
        </w:tc>
        <w:tc>
          <w:tcPr>
            <w:tcW w:w="113" w:type="dxa"/>
            <w:tcBorders/>
            <w:shd w:fill="FFFFFF" w:val="clear"/>
            <w:vAlign w:val="center"/>
          </w:tcPr>
          <w:p>
            <w:pPr>
              <w:pStyle w:val="TableContents"/>
              <w:bidi w:val="0"/>
              <w:spacing w:before="0" w:after="283"/>
              <w:jc w:val="left"/>
              <w:rPr/>
            </w:pPr>
            <w:r>
              <w:rPr/>
              <w:t>)</w:t>
            </w:r>
          </w:p>
        </w:tc>
      </w:tr>
      <w:tr>
        <w:trPr/>
        <w:tc>
          <w:tcPr>
            <w:tcW w:w="7085" w:type="dxa"/>
            <w:tcBorders/>
            <w:shd w:fill="CCEEFF" w:val="clear"/>
            <w:vAlign w:val="center"/>
          </w:tcPr>
          <w:p>
            <w:pPr>
              <w:pStyle w:val="TableContents"/>
              <w:bidi w:val="0"/>
              <w:spacing w:before="0" w:after="283"/>
              <w:jc w:val="left"/>
              <w:rPr/>
            </w:pPr>
            <w:r>
              <w:rPr/>
              <w:t>Total liabilities, noncontrolling interests and stockholders’ deficit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57,134,832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59,307,138</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5025" cy="1266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05025" cy="1266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 for the Three and Six Months Ended June 30, 2026 and 2025 (Unaudited)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25"/>
        <w:gridCol w:w="60"/>
        <w:gridCol w:w="145"/>
        <w:gridCol w:w="1143"/>
        <w:gridCol w:w="98"/>
        <w:gridCol w:w="62"/>
        <w:gridCol w:w="145"/>
        <w:gridCol w:w="1221"/>
        <w:gridCol w:w="95"/>
        <w:gridCol w:w="60"/>
        <w:gridCol w:w="141"/>
        <w:gridCol w:w="1111"/>
        <w:gridCol w:w="96"/>
        <w:gridCol w:w="60"/>
        <w:gridCol w:w="141"/>
        <w:gridCol w:w="1187"/>
        <w:gridCol w:w="115"/>
      </w:tblGrid>
      <w:tr>
        <w:trPr/>
        <w:tc>
          <w:tcPr>
            <w:tcW w:w="4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81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3" w:type="dxa"/>
            <w:tcBorders/>
            <w:shd w:fill="CCEEFF" w:val="clear"/>
            <w:vAlign w:val="center"/>
          </w:tcPr>
          <w:p>
            <w:pPr>
              <w:pStyle w:val="TableContents"/>
              <w:bidi w:val="0"/>
              <w:spacing w:before="0" w:after="283"/>
              <w:jc w:val="right"/>
              <w:rPr/>
            </w:pPr>
            <w:r>
              <w:rPr/>
              <w:t>19,676,448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22,185,750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46,971,102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42,296,622</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11,988,665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15,231,005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pPr>
            <w:r>
              <w:rPr/>
              <w:t>27,626,878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29,494,350</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7,687,783</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6,954,745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pPr>
            <w:r>
              <w:rPr/>
              <w:t>19,344,224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12,802,272</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4,975,250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3,475,089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9,626,007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8,439,440</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4,453,153</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3,293,409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8,467,822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6,903,154</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814,705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1,520,201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1,683,494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2,826,567</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12,834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67,761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25,568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135,665</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Impairment of film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96,838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pPr>
            <w:r>
              <w:rPr/>
              <w:t>415,719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pPr>
            <w:r>
              <w:rPr/>
              <w:t>165,987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415,719</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10,352,780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8,772,179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pPr>
            <w:r>
              <w:rPr/>
              <w:t>19,968,878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18,720,545</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(2,664,997</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(1,817,434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pPr>
            <w:r>
              <w:rPr/>
              <w:t>(624,654</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(5,918,273</w:t>
            </w:r>
          </w:p>
        </w:tc>
        <w:tc>
          <w:tcPr>
            <w:tcW w:w="115"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58,235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31,972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100,082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61,878</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Interest income – related party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499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992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992</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(152,125</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(169,286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(358,171</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(250,115</w:t>
            </w:r>
          </w:p>
        </w:tc>
        <w:tc>
          <w:tcPr>
            <w:tcW w:w="115"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(415,082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(707,968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(60,031</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61,794</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Foreign currency transaction gain (loss)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(1,433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pPr>
            <w:r>
              <w:rPr/>
              <w:t>(31,891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pPr>
            <w:r>
              <w:rPr/>
              <w:t>8,259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(68,179</w:t>
            </w:r>
          </w:p>
        </w:tc>
        <w:tc>
          <w:tcPr>
            <w:tcW w:w="115"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(509,906</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(876,674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pPr>
            <w:r>
              <w:rPr/>
              <w:t>(308,869</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(193,630</w:t>
            </w:r>
          </w:p>
        </w:tc>
        <w:tc>
          <w:tcPr>
            <w:tcW w:w="115"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(3,174,903</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(2,694,108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(933,523</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(6,111,903</w:t>
            </w:r>
          </w:p>
        </w:tc>
        <w:tc>
          <w:tcPr>
            <w:tcW w:w="115"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Provision for (benefit from) 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(133,629</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13,868,598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pPr>
            <w:r>
              <w:rPr/>
              <w:t>(26,805</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12,397,768</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(3,041,274</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(16,562,706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(906,718</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(18,509,671</w:t>
            </w:r>
          </w:p>
        </w:tc>
        <w:tc>
          <w:tcPr>
            <w:tcW w:w="115"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(525</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pPr>
            <w:r>
              <w:rPr/>
              <w:t>(675</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(1,238</w:t>
            </w:r>
          </w:p>
        </w:tc>
        <w:tc>
          <w:tcPr>
            <w:tcW w:w="115"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Net loss attributable to Snail, Inc.</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(3,040,749</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(16,562,424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(906,043</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(18,508,433</w:t>
            </w:r>
          </w:p>
        </w:tc>
        <w:tc>
          <w:tcPr>
            <w:tcW w:w="115"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Comprehensive loss statement: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(3,041,274</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(16,562,706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(906,718</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(18,509,671</w:t>
            </w:r>
          </w:p>
        </w:tc>
        <w:tc>
          <w:tcPr>
            <w:tcW w:w="115"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Other comprehensive income (loss) related to foreign currency translation adjustments, net of tax</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984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30,587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(25,839</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63,820</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Other comprehensive income related to credit adjustments, net of tax</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pPr>
            <w:r>
              <w:rPr/>
              <w:t>5,310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22,023</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comprehensive loss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pPr>
            <w:r>
              <w:rPr/>
              <w:t>(3,040,290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pPr>
            <w:r>
              <w:rPr/>
              <w:t>(16,532,119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pPr>
            <w:r>
              <w:rPr/>
              <w:t>(927,247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pPr>
            <w:r>
              <w:rPr/>
              <w:t>(18,423,828</w:t>
            </w:r>
          </w:p>
        </w:tc>
        <w:tc>
          <w:tcPr>
            <w:tcW w:w="115"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Net loss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(989,812</w:t>
            </w:r>
          </w:p>
        </w:tc>
        <w:tc>
          <w:tcPr>
            <w:tcW w:w="98"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(3,775,300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(258,255</w:t>
            </w:r>
          </w:p>
        </w:tc>
        <w:tc>
          <w:tcPr>
            <w:tcW w:w="96"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(4,210,496</w:t>
            </w:r>
          </w:p>
        </w:tc>
        <w:tc>
          <w:tcPr>
            <w:tcW w:w="115" w:type="dxa"/>
            <w:tcBorders/>
            <w:shd w:fill="FFFFFF" w:val="clear"/>
            <w:vAlign w:val="center"/>
          </w:tcPr>
          <w:p>
            <w:pPr>
              <w:pStyle w:val="TableContents"/>
              <w:bidi w:val="0"/>
              <w:spacing w:before="0" w:after="283"/>
              <w:jc w:val="left"/>
              <w:rPr>
                <w:b/>
              </w:rPr>
            </w:pPr>
            <w:r>
              <w:rPr>
                <w:b/>
              </w:rPr>
              <w:t>)</w:t>
            </w:r>
          </w:p>
        </w:tc>
      </w:tr>
      <w:tr>
        <w:trPr/>
        <w:tc>
          <w:tcPr>
            <w:tcW w:w="43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(989,812</w:t>
            </w:r>
          </w:p>
        </w:tc>
        <w:tc>
          <w:tcPr>
            <w:tcW w:w="98"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(3,775,300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(258,255</w:t>
            </w:r>
          </w:p>
        </w:tc>
        <w:tc>
          <w:tcPr>
            <w:tcW w:w="9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(4,216,414</w:t>
            </w:r>
          </w:p>
        </w:tc>
        <w:tc>
          <w:tcPr>
            <w:tcW w:w="115" w:type="dxa"/>
            <w:tcBorders/>
            <w:shd w:fill="CCEEFF" w:val="clear"/>
            <w:vAlign w:val="center"/>
          </w:tcPr>
          <w:p>
            <w:pPr>
              <w:pStyle w:val="TableContents"/>
              <w:bidi w:val="0"/>
              <w:spacing w:before="0" w:after="283"/>
              <w:jc w:val="left"/>
              <w:rPr>
                <w:b/>
              </w:rPr>
            </w:pPr>
            <w:r>
              <w:rPr>
                <w:b/>
              </w:rPr>
              <w:t>)</w:t>
            </w:r>
          </w:p>
        </w:tc>
      </w:tr>
      <w:tr>
        <w:trPr/>
        <w:tc>
          <w:tcPr>
            <w:tcW w:w="4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Net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(2,050,937</w:t>
            </w:r>
          </w:p>
        </w:tc>
        <w:tc>
          <w:tcPr>
            <w:tcW w:w="98"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(12,787,124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(647,788</w:t>
            </w:r>
          </w:p>
        </w:tc>
        <w:tc>
          <w:tcPr>
            <w:tcW w:w="96"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(14,297,937</w:t>
            </w:r>
          </w:p>
        </w:tc>
        <w:tc>
          <w:tcPr>
            <w:tcW w:w="115" w:type="dxa"/>
            <w:tcBorders/>
            <w:shd w:fill="FFFFFF" w:val="clear"/>
            <w:vAlign w:val="center"/>
          </w:tcPr>
          <w:p>
            <w:pPr>
              <w:pStyle w:val="TableContents"/>
              <w:bidi w:val="0"/>
              <w:spacing w:before="0" w:after="283"/>
              <w:jc w:val="left"/>
              <w:rPr>
                <w:b/>
              </w:rPr>
            </w:pPr>
            <w:r>
              <w:rPr>
                <w:b/>
              </w:rPr>
              <w:t>)</w:t>
            </w:r>
          </w:p>
        </w:tc>
      </w:tr>
      <w:tr>
        <w:trPr/>
        <w:tc>
          <w:tcPr>
            <w:tcW w:w="43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(2,050,937</w:t>
            </w:r>
          </w:p>
        </w:tc>
        <w:tc>
          <w:tcPr>
            <w:tcW w:w="98"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(12,787,124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(647,788</w:t>
            </w:r>
          </w:p>
        </w:tc>
        <w:tc>
          <w:tcPr>
            <w:tcW w:w="9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(14,318,033</w:t>
            </w:r>
          </w:p>
        </w:tc>
        <w:tc>
          <w:tcPr>
            <w:tcW w:w="115" w:type="dxa"/>
            <w:tcBorders/>
            <w:shd w:fill="CCEEFF" w:val="clear"/>
            <w:vAlign w:val="center"/>
          </w:tcPr>
          <w:p>
            <w:pPr>
              <w:pStyle w:val="TableContents"/>
              <w:bidi w:val="0"/>
              <w:spacing w:before="0" w:after="283"/>
              <w:jc w:val="left"/>
              <w:rPr>
                <w:b/>
              </w:rPr>
            </w:pPr>
            <w:r>
              <w:rPr>
                <w:b/>
              </w:rPr>
              <w:t>)</w:t>
            </w:r>
          </w:p>
        </w:tc>
      </w:tr>
      <w:tr>
        <w:trPr/>
        <w:tc>
          <w:tcPr>
            <w:tcW w:w="4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Loss per share attributable to Class A and B common stockholders: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(0.36</w:t>
            </w:r>
          </w:p>
        </w:tc>
        <w:tc>
          <w:tcPr>
            <w:tcW w:w="98"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(0.11</w:t>
            </w:r>
          </w:p>
        </w:tc>
        <w:tc>
          <w:tcPr>
            <w:tcW w:w="96"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(2.49</w:t>
            </w:r>
          </w:p>
        </w:tc>
        <w:tc>
          <w:tcPr>
            <w:tcW w:w="115" w:type="dxa"/>
            <w:tcBorders/>
            <w:shd w:fill="FFFFFF" w:val="clear"/>
            <w:vAlign w:val="center"/>
          </w:tcPr>
          <w:p>
            <w:pPr>
              <w:pStyle w:val="TableContents"/>
              <w:bidi w:val="0"/>
              <w:spacing w:before="0" w:after="283"/>
              <w:jc w:val="left"/>
              <w:rPr>
                <w:b/>
              </w:rPr>
            </w:pPr>
            <w:r>
              <w:rPr>
                <w:b/>
              </w:rPr>
              <w:t>)</w:t>
            </w:r>
          </w:p>
        </w:tc>
      </w:tr>
      <w:tr>
        <w:trPr/>
        <w:tc>
          <w:tcPr>
            <w:tcW w:w="43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(0.36</w:t>
            </w:r>
          </w:p>
        </w:tc>
        <w:tc>
          <w:tcPr>
            <w:tcW w:w="98"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(0.11</w:t>
            </w:r>
          </w:p>
        </w:tc>
        <w:tc>
          <w:tcPr>
            <w:tcW w:w="9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(2.49</w:t>
            </w:r>
          </w:p>
        </w:tc>
        <w:tc>
          <w:tcPr>
            <w:tcW w:w="115" w:type="dxa"/>
            <w:tcBorders/>
            <w:shd w:fill="CCEEFF" w:val="clear"/>
            <w:vAlign w:val="center"/>
          </w:tcPr>
          <w:p>
            <w:pPr>
              <w:pStyle w:val="TableContents"/>
              <w:bidi w:val="0"/>
              <w:spacing w:before="0" w:after="283"/>
              <w:jc w:val="left"/>
              <w:rPr>
                <w:b/>
              </w:rPr>
            </w:pPr>
            <w:r>
              <w:rPr>
                <w:b/>
              </w:rPr>
              <w:t>)</w:t>
            </w:r>
          </w:p>
        </w:tc>
      </w:tr>
      <w:tr>
        <w:trPr/>
        <w:tc>
          <w:tcPr>
            <w:tcW w:w="4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Weighted-average shares used to compute income (loss) per share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2,774,897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1,697,559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2,292,247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1,693,192</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2,774,897</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1,697,559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2,292,247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1,693,507</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Weighted-average shares used to compute income (loss) per share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5,749,716</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5,749,716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5,749,716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5,749,716</w:t>
            </w:r>
          </w:p>
        </w:tc>
        <w:tc>
          <w:tcPr>
            <w:tcW w:w="11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5,749,716</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5,749,716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5,749,716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5,749,716</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5025" cy="1266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05025" cy="12668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for the Six Months Ended June 30, 2026 and 2025 (Unaudited)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5"/>
        <w:gridCol w:w="60"/>
        <w:gridCol w:w="140"/>
        <w:gridCol w:w="1100"/>
        <w:gridCol w:w="95"/>
        <w:gridCol w:w="60"/>
        <w:gridCol w:w="140"/>
        <w:gridCol w:w="1175"/>
        <w:gridCol w:w="110"/>
      </w:tblGrid>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(906,718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(18,509,671</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Amortization – 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327,756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79,424</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Amortization – intangible assets, net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Amortization – film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231,917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645,069</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Amortization – loan origination fees and debt discounts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(19,504</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Loss on 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82,180</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Gain on 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(39,243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(91,383</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Depreciation –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135,667</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Impairment of film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165,987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415,719</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Gain on remeasurement of previously held equity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(7,857</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Gain on lease termination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101,130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280,888</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Deferred taxes,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10,808,885</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Changes in assets and liabilities, net of business acquisitions: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3,182,594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(7,825,905</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3,836,866</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Prepaid expenses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(392,512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(1,728,666</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537,799</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Prepaid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3,686,137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1,161,649</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Other noncurrent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(696,951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(1,064,165</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(1,636,164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(110,912</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(1,640,793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1,040,862</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1,378,317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1,009,796</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Loan and interest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(992</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108,659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(163,920</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1,732,492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7,075,046</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6,862,539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(2,413,125</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Acquisition of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(290,000</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Acquisition of software licenses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(343,770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(2,008,690</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Investments in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(718,236</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Net cash paid for acquisition of Matrioshka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(9,719</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(343,770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(3,026,645</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both"/>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Proceeds from at-the-market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4,232,897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Repayments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(594,376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Repayments on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(2,523,295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(638,753</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Repayments on revolving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(43,018</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Borrowings on term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3,500,000</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Cash proceeds from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159,000</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Proceeds from issuance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3,000,000</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Payments of loan origination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(1,392,274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5,977,229</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(25,839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64,023</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Net increase in cash and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5,100,656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601,482</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Cash and cash equivalents, and restricted cash and cash equivalents –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10,503,164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8,238,944</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b/>
              </w:rPr>
            </w:pPr>
            <w:r>
              <w:rPr>
                <w:b/>
              </w:rPr>
              <w:t>Cash and cash equivalents, and restricted cash and cash equivalents –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15,603,820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8,840,426</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b/>
              </w:rPr>
            </w:pPr>
            <w:r>
              <w:rPr>
                <w:b/>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311,933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230,318</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82,428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612,007</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b/>
              </w:rPr>
            </w:pPr>
            <w:r>
              <w:rPr>
                <w:b/>
              </w:rPr>
              <w:t>Noncash transactions during the period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Liabilities converted to equity upon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606,541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323,113</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both"/>
              <w:rPr/>
            </w:pPr>
            <w:r>
              <w:rPr/>
              <w:t>Acquisition of film licenses in 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86,069</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Acquisition of software and software licenses in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54,600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313,282</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Change in fair value of notes recorded in 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22,023</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Right-of-use assets obtained in exchange for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(297,000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(55,267</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Net assets acquired in a business combination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5,461</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Debt converted to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866,250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4398</Words>
  <Characters>24523</Characters>
  <CharactersWithSpaces>29887</CharactersWithSpaces>
  <Paragraphs>2915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