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198120</wp:posOffset>
            </wp:positionH>
            <wp:positionV relativeFrom="page">
              <wp:posOffset>264795</wp:posOffset>
            </wp:positionV>
            <wp:extent cx="715200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36830"/>
                    </a:xfrm>
                    <a:prstGeom prst="rect">
                      <a:avLst/>
                    </a:prstGeom>
                    <a:noFill/>
                  </pic:spPr>
                </pic:pic>
              </a:graphicData>
            </a:graphic>
          </wp:anchor>
        </w:drawing>
        <w:drawing>
          <wp:anchor simplePos="0" relativeHeight="251657728" behindDoc="1" locked="0" layoutInCell="0" allowOverlap="1">
            <wp:simplePos x="0" y="0"/>
            <wp:positionH relativeFrom="page">
              <wp:posOffset>198120</wp:posOffset>
            </wp:positionH>
            <wp:positionV relativeFrom="page">
              <wp:posOffset>308610</wp:posOffset>
            </wp:positionV>
            <wp:extent cx="715200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14605"/>
                    </a:xfrm>
                    <a:prstGeom prst="rect">
                      <a:avLst/>
                    </a:prstGeom>
                    <a:noFill/>
                  </pic:spPr>
                </pic:pic>
              </a:graphicData>
            </a:graphic>
          </wp:anchor>
        </w:drawing>
        <w:t>UNITED STATES</w:t>
      </w:r>
    </w:p>
    <w:p>
      <w:pPr>
        <w:spacing w:after="0" w:line="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9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97" w:lineRule="exact"/>
        <w:rPr>
          <w:sz w:val="24"/>
          <w:szCs w:val="24"/>
          <w:color w:val="auto"/>
        </w:rPr>
      </w:pPr>
    </w:p>
    <w:p>
      <w:pPr>
        <w:ind w:left="4088" w:right="2900" w:hanging="4088"/>
        <w:spacing w:after="0" w:line="513" w:lineRule="auto"/>
        <w:tabs>
          <w:tab w:leader="none" w:pos="559"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97" w:lineRule="exact"/>
        <w:rPr>
          <w:sz w:val="24"/>
          <w:szCs w:val="24"/>
          <w:color w:val="auto"/>
        </w:rPr>
      </w:pPr>
    </w:p>
    <w:p>
      <w:pPr>
        <w:ind w:left="548" w:right="20" w:hanging="548"/>
        <w:spacing w:after="0" w:line="299" w:lineRule="auto"/>
        <w:tabs>
          <w:tab w:leader="none" w:pos="548"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TO</w:t>
      </w:r>
    </w:p>
    <w:p>
      <w:pPr>
        <w:spacing w:after="0" w:line="124" w:lineRule="exact"/>
        <w:rPr>
          <w:sz w:val="24"/>
          <w:szCs w:val="24"/>
          <w:color w:val="auto"/>
        </w:rPr>
      </w:pPr>
    </w:p>
    <w:tbl>
      <w:tblPr>
        <w:tblLayout w:type="fixed"/>
        <w:tblInd w:w="1488" w:type="dxa"/>
        <w:tblCellMar>
          <w:top w:w="0" w:type="dxa"/>
          <w:left w:w="0" w:type="dxa"/>
          <w:bottom w:w="0" w:type="dxa"/>
          <w:right w:w="0" w:type="dxa"/>
        </w:tblCellMar>
      </w:tblPr>
      <w:tr>
        <w:trPr>
          <w:trHeight w:val="203"/>
        </w:trPr>
        <w:tc>
          <w:tcPr>
            <w:tcW w:w="6160" w:type="dxa"/>
            <w:vAlign w:val="bottom"/>
          </w:tcPr>
          <w:p>
            <w:pPr>
              <w:jc w:val="center"/>
              <w:ind w:left="2056"/>
              <w:spacing w:after="0"/>
              <w:rPr>
                <w:sz w:val="20"/>
                <w:szCs w:val="20"/>
                <w:color w:val="auto"/>
              </w:rPr>
            </w:pPr>
            <w:r>
              <w:rPr>
                <w:rFonts w:ascii="Times New Roman" w:cs="Times New Roman" w:eastAsia="Times New Roman" w:hAnsi="Times New Roman"/>
                <w:sz w:val="15"/>
                <w:szCs w:val="15"/>
                <w:b w:val="1"/>
                <w:bCs w:val="1"/>
                <w:color w:val="auto"/>
              </w:rPr>
              <w:t>Commission File Number 001-41556</w:t>
            </w:r>
          </w:p>
        </w:tc>
        <w:tc>
          <w:tcPr>
            <w:tcW w:w="1460" w:type="dxa"/>
            <w:vAlign w:val="bottom"/>
          </w:tcPr>
          <w:p>
            <w:pPr>
              <w:spacing w:after="0"/>
              <w:rPr>
                <w:sz w:val="17"/>
                <w:szCs w:val="17"/>
                <w:color w:val="auto"/>
              </w:rPr>
            </w:pPr>
          </w:p>
        </w:tc>
      </w:tr>
      <w:tr>
        <w:trPr>
          <w:trHeight w:val="478"/>
        </w:trPr>
        <w:tc>
          <w:tcPr>
            <w:tcW w:w="6160" w:type="dxa"/>
            <w:vAlign w:val="bottom"/>
          </w:tcPr>
          <w:p>
            <w:pPr>
              <w:jc w:val="center"/>
              <w:ind w:left="2036"/>
              <w:spacing w:after="0"/>
              <w:rPr>
                <w:sz w:val="20"/>
                <w:szCs w:val="20"/>
                <w:color w:val="auto"/>
              </w:rPr>
            </w:pPr>
            <w:r>
              <w:rPr>
                <w:rFonts w:ascii="Times New Roman" w:cs="Times New Roman" w:eastAsia="Times New Roman" w:hAnsi="Times New Roman"/>
                <w:sz w:val="28"/>
                <w:szCs w:val="28"/>
                <w:b w:val="1"/>
                <w:bCs w:val="1"/>
                <w:color w:val="auto"/>
                <w:w w:val="98"/>
              </w:rPr>
              <w:t>SNAIL, INC.</w:t>
            </w:r>
          </w:p>
        </w:tc>
        <w:tc>
          <w:tcPr>
            <w:tcW w:w="1460" w:type="dxa"/>
            <w:vAlign w:val="bottom"/>
          </w:tcPr>
          <w:p>
            <w:pPr>
              <w:spacing w:after="0"/>
              <w:rPr>
                <w:sz w:val="24"/>
                <w:szCs w:val="24"/>
                <w:color w:val="auto"/>
              </w:rPr>
            </w:pPr>
          </w:p>
        </w:tc>
      </w:tr>
      <w:tr>
        <w:trPr>
          <w:trHeight w:val="203"/>
        </w:trPr>
        <w:tc>
          <w:tcPr>
            <w:tcW w:w="6160" w:type="dxa"/>
            <w:vAlign w:val="bottom"/>
          </w:tcPr>
          <w:p>
            <w:pPr>
              <w:jc w:val="center"/>
              <w:ind w:left="203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1460" w:type="dxa"/>
            <w:vAlign w:val="bottom"/>
          </w:tcPr>
          <w:p>
            <w:pPr>
              <w:spacing w:after="0"/>
              <w:rPr>
                <w:sz w:val="17"/>
                <w:szCs w:val="17"/>
                <w:color w:val="auto"/>
              </w:rPr>
            </w:pPr>
          </w:p>
        </w:tc>
      </w:tr>
      <w:tr>
        <w:trPr>
          <w:trHeight w:val="351"/>
        </w:trPr>
        <w:tc>
          <w:tcPr>
            <w:tcW w:w="6160" w:type="dxa"/>
            <w:vAlign w:val="bottom"/>
          </w:tcPr>
          <w:p>
            <w:pPr>
              <w:jc w:val="center"/>
              <w:ind w:right="353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46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88-4146991</w:t>
            </w:r>
          </w:p>
        </w:tc>
      </w:tr>
      <w:tr>
        <w:trPr>
          <w:trHeight w:val="185"/>
        </w:trPr>
        <w:tc>
          <w:tcPr>
            <w:tcW w:w="6160" w:type="dxa"/>
            <w:vAlign w:val="bottom"/>
          </w:tcPr>
          <w:p>
            <w:pPr>
              <w:jc w:val="center"/>
              <w:ind w:right="3516"/>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1460" w:type="dxa"/>
            <w:vAlign w:val="bottom"/>
          </w:tcPr>
          <w:p>
            <w:pPr>
              <w:jc w:val="center"/>
              <w:ind w:left="183"/>
              <w:spacing w:after="0"/>
              <w:rPr>
                <w:sz w:val="20"/>
                <w:szCs w:val="20"/>
                <w:color w:val="auto"/>
              </w:rPr>
            </w:pPr>
            <w:r>
              <w:rPr>
                <w:rFonts w:ascii="Times New Roman" w:cs="Times New Roman" w:eastAsia="Times New Roman" w:hAnsi="Times New Roman"/>
                <w:sz w:val="15"/>
                <w:szCs w:val="15"/>
                <w:b w:val="1"/>
                <w:bCs w:val="1"/>
                <w:color w:val="auto"/>
              </w:rPr>
              <w:t>(I.R.S. Employer</w:t>
            </w:r>
          </w:p>
        </w:tc>
      </w:tr>
      <w:tr>
        <w:trPr>
          <w:trHeight w:val="203"/>
        </w:trPr>
        <w:tc>
          <w:tcPr>
            <w:tcW w:w="6160" w:type="dxa"/>
            <w:vAlign w:val="bottom"/>
          </w:tcPr>
          <w:p>
            <w:pPr>
              <w:jc w:val="center"/>
              <w:ind w:right="3516"/>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1460" w:type="dxa"/>
            <w:vAlign w:val="bottom"/>
          </w:tcPr>
          <w:p>
            <w:pPr>
              <w:jc w:val="center"/>
              <w:ind w:left="183"/>
              <w:spacing w:after="0"/>
              <w:rPr>
                <w:sz w:val="20"/>
                <w:szCs w:val="20"/>
                <w:color w:val="auto"/>
              </w:rPr>
            </w:pPr>
            <w:r>
              <w:rPr>
                <w:rFonts w:ascii="Times New Roman" w:cs="Times New Roman" w:eastAsia="Times New Roman" w:hAnsi="Times New Roman"/>
                <w:sz w:val="15"/>
                <w:szCs w:val="15"/>
                <w:b w:val="1"/>
                <w:bCs w:val="1"/>
                <w:color w:val="auto"/>
              </w:rPr>
              <w:t>Identification No.)</w:t>
            </w:r>
          </w:p>
        </w:tc>
      </w:tr>
      <w:tr>
        <w:trPr>
          <w:trHeight w:val="351"/>
        </w:trPr>
        <w:tc>
          <w:tcPr>
            <w:tcW w:w="6160" w:type="dxa"/>
            <w:vAlign w:val="bottom"/>
          </w:tcPr>
          <w:p>
            <w:pPr>
              <w:jc w:val="center"/>
              <w:ind w:right="3536"/>
              <w:spacing w:after="0"/>
              <w:rPr>
                <w:sz w:val="20"/>
                <w:szCs w:val="20"/>
                <w:color w:val="auto"/>
              </w:rPr>
            </w:pPr>
            <w:r>
              <w:rPr>
                <w:rFonts w:ascii="Times New Roman" w:cs="Times New Roman" w:eastAsia="Times New Roman" w:hAnsi="Times New Roman"/>
                <w:sz w:val="15"/>
                <w:szCs w:val="15"/>
                <w:b w:val="1"/>
                <w:bCs w:val="1"/>
                <w:color w:val="auto"/>
              </w:rPr>
              <w:t>12049 Jefferson Blvd</w:t>
            </w:r>
          </w:p>
        </w:tc>
        <w:tc>
          <w:tcPr>
            <w:tcW w:w="1460" w:type="dxa"/>
            <w:vAlign w:val="bottom"/>
          </w:tcPr>
          <w:p>
            <w:pPr>
              <w:spacing w:after="0"/>
              <w:rPr>
                <w:sz w:val="24"/>
                <w:szCs w:val="24"/>
                <w:color w:val="auto"/>
              </w:rPr>
            </w:pPr>
          </w:p>
        </w:tc>
      </w:tr>
      <w:tr>
        <w:trPr>
          <w:trHeight w:val="185"/>
        </w:trPr>
        <w:tc>
          <w:tcPr>
            <w:tcW w:w="6160" w:type="dxa"/>
            <w:vAlign w:val="bottom"/>
          </w:tcPr>
          <w:p>
            <w:pPr>
              <w:jc w:val="center"/>
              <w:ind w:right="3516"/>
              <w:spacing w:after="0"/>
              <w:rPr>
                <w:sz w:val="20"/>
                <w:szCs w:val="20"/>
                <w:color w:val="auto"/>
              </w:rPr>
            </w:pPr>
            <w:r>
              <w:rPr>
                <w:rFonts w:ascii="Times New Roman" w:cs="Times New Roman" w:eastAsia="Times New Roman" w:hAnsi="Times New Roman"/>
                <w:sz w:val="15"/>
                <w:szCs w:val="15"/>
                <w:b w:val="1"/>
                <w:bCs w:val="1"/>
                <w:color w:val="auto"/>
              </w:rPr>
              <w:t>Culver City, CA</w:t>
            </w:r>
          </w:p>
        </w:tc>
        <w:tc>
          <w:tcPr>
            <w:tcW w:w="146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90230</w:t>
            </w:r>
          </w:p>
        </w:tc>
      </w:tr>
      <w:tr>
        <w:trPr>
          <w:trHeight w:val="203"/>
        </w:trPr>
        <w:tc>
          <w:tcPr>
            <w:tcW w:w="6160" w:type="dxa"/>
            <w:vAlign w:val="bottom"/>
          </w:tcPr>
          <w:p>
            <w:pPr>
              <w:jc w:val="center"/>
              <w:ind w:right="3536"/>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1460" w:type="dxa"/>
            <w:vAlign w:val="bottom"/>
          </w:tcPr>
          <w:p>
            <w:pPr>
              <w:jc w:val="center"/>
              <w:ind w:left="183"/>
              <w:spacing w:after="0"/>
              <w:rPr>
                <w:sz w:val="20"/>
                <w:szCs w:val="20"/>
                <w:color w:val="auto"/>
              </w:rPr>
            </w:pPr>
            <w:r>
              <w:rPr>
                <w:rFonts w:ascii="Times New Roman" w:cs="Times New Roman" w:eastAsia="Times New Roman" w:hAnsi="Times New Roman"/>
                <w:sz w:val="15"/>
                <w:szCs w:val="15"/>
                <w:b w:val="1"/>
                <w:bCs w:val="1"/>
                <w:color w:val="auto"/>
              </w:rPr>
              <w:t>(Zip code)</w:t>
            </w:r>
          </w:p>
        </w:tc>
      </w:tr>
    </w:tbl>
    <w:p>
      <w:pPr>
        <w:spacing w:after="0" w:line="1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+1 (310) 988-0643</w:t>
      </w:r>
    </w:p>
    <w:p>
      <w:pPr>
        <w:spacing w:after="0" w:line="201" w:lineRule="exact"/>
        <w:rPr>
          <w:sz w:val="24"/>
          <w:szCs w:val="24"/>
          <w:color w:val="auto"/>
        </w:rPr>
      </w:pPr>
    </w:p>
    <w:tbl>
      <w:tblPr>
        <w:tblLayout w:type="fixed"/>
        <w:tblInd w:w="8" w:type="dxa"/>
        <w:tblCellMar>
          <w:top w:w="0" w:type="dxa"/>
          <w:left w:w="0" w:type="dxa"/>
          <w:bottom w:w="0" w:type="dxa"/>
          <w:right w:w="0" w:type="dxa"/>
        </w:tblCellMar>
      </w:tblPr>
      <w:tr>
        <w:trPr>
          <w:trHeight w:val="199"/>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369"/>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Trading Symbol (s)</w:t>
            </w: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62"/>
        </w:trPr>
        <w:tc>
          <w:tcPr>
            <w:tcW w:w="428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Class A common stock, par value $0.0001 per share</w:t>
            </w:r>
          </w:p>
        </w:tc>
        <w:tc>
          <w:tcPr>
            <w:tcW w:w="220" w:type="dxa"/>
            <w:vAlign w:val="bottom"/>
          </w:tcPr>
          <w:p>
            <w:pPr>
              <w:spacing w:after="0"/>
              <w:rPr>
                <w:sz w:val="14"/>
                <w:szCs w:val="14"/>
                <w:color w:val="auto"/>
              </w:rPr>
            </w:pPr>
          </w:p>
        </w:tc>
        <w:tc>
          <w:tcPr>
            <w:tcW w:w="226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SNAL</w:t>
            </w:r>
          </w:p>
        </w:tc>
        <w:tc>
          <w:tcPr>
            <w:tcW w:w="220" w:type="dxa"/>
            <w:vAlign w:val="bottom"/>
          </w:tcPr>
          <w:p>
            <w:pPr>
              <w:spacing w:after="0"/>
              <w:rPr>
                <w:sz w:val="14"/>
                <w:szCs w:val="14"/>
                <w:color w:val="auto"/>
              </w:rPr>
            </w:pPr>
          </w:p>
        </w:tc>
        <w:tc>
          <w:tcPr>
            <w:tcW w:w="428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The Nasdaq Stock Market LLC</w:t>
            </w:r>
          </w:p>
        </w:tc>
      </w:tr>
      <w:tr>
        <w:trPr>
          <w:trHeight w:val="199"/>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Capital Market)</w:t>
            </w:r>
          </w:p>
        </w:tc>
      </w:tr>
      <w:tr>
        <w:trPr>
          <w:trHeight w:val="369"/>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pacing w:after="0" w:line="135" w:lineRule="exact"/>
        <w:rPr>
          <w:sz w:val="24"/>
          <w:szCs w:val="24"/>
          <w:color w:val="auto"/>
        </w:rPr>
      </w:pPr>
    </w:p>
    <w:p>
      <w:pPr>
        <w:ind w:left="8"/>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32" w:lineRule="exact"/>
        <w:rPr>
          <w:sz w:val="24"/>
          <w:szCs w:val="24"/>
          <w:color w:val="auto"/>
        </w:rPr>
      </w:pPr>
    </w:p>
    <w:p>
      <w:pPr>
        <w:jc w:val="both"/>
        <w:ind w:left="8"/>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7" w:lineRule="exact"/>
        <w:rPr>
          <w:sz w:val="24"/>
          <w:szCs w:val="24"/>
          <w:color w:val="auto"/>
        </w:rPr>
      </w:pPr>
    </w:p>
    <w:p>
      <w:pPr>
        <w:jc w:val="both"/>
        <w:ind w:left="8"/>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7" w:lineRule="exact"/>
        <w:rPr>
          <w:sz w:val="24"/>
          <w:szCs w:val="24"/>
          <w:color w:val="auto"/>
        </w:rPr>
      </w:pPr>
    </w:p>
    <w:p>
      <w:pPr>
        <w:jc w:val="both"/>
        <w:ind w:left="8"/>
        <w:spacing w:after="0" w:line="29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8" w:type="dxa"/>
        <w:tblCellMar>
          <w:top w:w="0" w:type="dxa"/>
          <w:left w:w="0" w:type="dxa"/>
          <w:bottom w:w="0" w:type="dxa"/>
          <w:right w:w="0" w:type="dxa"/>
        </w:tblCellMar>
      </w:tblPr>
      <w:tr>
        <w:trPr>
          <w:trHeight w:val="189"/>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100" w:type="dxa"/>
            <w:vAlign w:val="bottom"/>
          </w:tcPr>
          <w:p>
            <w:pPr>
              <w:ind w:left="1860"/>
              <w:spacing w:after="0" w:line="151" w:lineRule="exact"/>
              <w:rPr>
                <w:sz w:val="20"/>
                <w:szCs w:val="20"/>
                <w:color w:val="auto"/>
              </w:rPr>
            </w:pPr>
            <w:r>
              <w:rPr>
                <w:rFonts w:ascii="MS PGothic" w:cs="MS PGothic" w:eastAsia="MS PGothic" w:hAnsi="MS PGothic"/>
                <w:sz w:val="15"/>
                <w:szCs w:val="15"/>
                <w:color w:val="auto"/>
              </w:rPr>
              <w:t>☐</w:t>
            </w:r>
          </w:p>
        </w:tc>
        <w:tc>
          <w:tcPr>
            <w:tcW w:w="3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Accelerated filer</w:t>
            </w:r>
          </w:p>
        </w:tc>
        <w:tc>
          <w:tcPr>
            <w:tcW w:w="1880" w:type="dxa"/>
            <w:vAlign w:val="bottom"/>
          </w:tcPr>
          <w:p>
            <w:pPr>
              <w:ind w:left="17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5"/>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100" w:type="dxa"/>
            <w:vAlign w:val="bottom"/>
          </w:tcPr>
          <w:p>
            <w:pPr>
              <w:ind w:left="1860"/>
              <w:spacing w:after="0" w:line="151" w:lineRule="exact"/>
              <w:rPr>
                <w:sz w:val="20"/>
                <w:szCs w:val="20"/>
                <w:color w:val="auto"/>
              </w:rPr>
            </w:pPr>
            <w:r>
              <w:rPr>
                <w:rFonts w:ascii="MS PGothic" w:cs="MS PGothic" w:eastAsia="MS PGothic" w:hAnsi="MS PGothic"/>
                <w:sz w:val="15"/>
                <w:szCs w:val="15"/>
                <w:color w:val="auto"/>
              </w:rPr>
              <w:t>☒</w:t>
            </w:r>
          </w:p>
        </w:tc>
        <w:tc>
          <w:tcPr>
            <w:tcW w:w="3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880" w:type="dxa"/>
            <w:vAlign w:val="bottom"/>
          </w:tcPr>
          <w:p>
            <w:pPr>
              <w:ind w:left="17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100" w:type="dxa"/>
            <w:vAlign w:val="bottom"/>
          </w:tcPr>
          <w:p>
            <w:pPr>
              <w:ind w:left="1860"/>
              <w:spacing w:after="0" w:line="151" w:lineRule="exact"/>
              <w:rPr>
                <w:sz w:val="20"/>
                <w:szCs w:val="20"/>
                <w:color w:val="auto"/>
              </w:rPr>
            </w:pPr>
            <w:r>
              <w:rPr>
                <w:rFonts w:ascii="MS PGothic" w:cs="MS PGothic" w:eastAsia="MS PGothic" w:hAnsi="MS PGothic"/>
                <w:sz w:val="15"/>
                <w:szCs w:val="15"/>
                <w:color w:val="auto"/>
              </w:rPr>
              <w:t>☒</w:t>
            </w:r>
          </w:p>
        </w:tc>
        <w:tc>
          <w:tcPr>
            <w:tcW w:w="3540" w:type="dxa"/>
            <w:vAlign w:val="bottom"/>
          </w:tcPr>
          <w:p>
            <w:pPr>
              <w:spacing w:after="0"/>
              <w:rPr>
                <w:sz w:val="22"/>
                <w:szCs w:val="22"/>
                <w:color w:val="auto"/>
              </w:rPr>
            </w:pPr>
          </w:p>
        </w:tc>
        <w:tc>
          <w:tcPr>
            <w:tcW w:w="1880" w:type="dxa"/>
            <w:vAlign w:val="bottom"/>
          </w:tcPr>
          <w:p>
            <w:pPr>
              <w:spacing w:after="0"/>
              <w:rPr>
                <w:sz w:val="22"/>
                <w:szCs w:val="22"/>
                <w:color w:val="auto"/>
              </w:rPr>
            </w:pPr>
          </w:p>
        </w:tc>
      </w:tr>
    </w:tbl>
    <w:p>
      <w:pPr>
        <w:spacing w:after="0" w:line="142" w:lineRule="exact"/>
        <w:rPr>
          <w:sz w:val="24"/>
          <w:szCs w:val="24"/>
          <w:color w:val="auto"/>
        </w:rPr>
      </w:pPr>
    </w:p>
    <w:p>
      <w:pPr>
        <w:ind w:left="8" w:right="20"/>
        <w:spacing w:after="0" w:line="204"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47" w:lineRule="exact"/>
        <w:rPr>
          <w:sz w:val="24"/>
          <w:szCs w:val="24"/>
          <w:color w:val="auto"/>
        </w:rPr>
      </w:pPr>
    </w:p>
    <w:p>
      <w:pPr>
        <w:ind w:left="8" w:right="20"/>
        <w:spacing w:after="0" w:line="204"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47" w:lineRule="exact"/>
        <w:rPr>
          <w:sz w:val="24"/>
          <w:szCs w:val="24"/>
          <w:color w:val="auto"/>
        </w:rPr>
      </w:pPr>
    </w:p>
    <w:p>
      <w:pPr>
        <w:ind w:left="8" w:right="20"/>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11" w:lineRule="exact"/>
        <w:rPr>
          <w:sz w:val="24"/>
          <w:szCs w:val="24"/>
          <w:color w:val="auto"/>
        </w:rPr>
      </w:pPr>
    </w:p>
    <w:p>
      <w:pPr>
        <w:ind w:left="8"/>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3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the latest practicable date.</w:t>
      </w:r>
    </w:p>
    <w:p>
      <w:pPr>
        <w:spacing w:after="0" w:line="193" w:lineRule="exact"/>
        <w:rPr>
          <w:sz w:val="24"/>
          <w:szCs w:val="24"/>
          <w:color w:val="auto"/>
        </w:rPr>
      </w:pPr>
    </w:p>
    <w:tbl>
      <w:tblPr>
        <w:tblLayout w:type="fixed"/>
        <w:tblInd w:w="8" w:type="dxa"/>
        <w:tblCellMar>
          <w:top w:w="0" w:type="dxa"/>
          <w:left w:w="0" w:type="dxa"/>
          <w:bottom w:w="0" w:type="dxa"/>
          <w:right w:w="0" w:type="dxa"/>
        </w:tblCellMar>
      </w:tblPr>
      <w:tr>
        <w:trPr>
          <w:trHeight w:val="203"/>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Class of Common Stock</w:t>
            </w:r>
          </w:p>
        </w:tc>
        <w:tc>
          <w:tcPr>
            <w:tcW w:w="5520" w:type="dxa"/>
            <w:vAlign w:val="bottom"/>
          </w:tcPr>
          <w:p>
            <w:pPr>
              <w:ind w:left="1520"/>
              <w:spacing w:after="0"/>
              <w:rPr>
                <w:sz w:val="20"/>
                <w:szCs w:val="20"/>
                <w:color w:val="auto"/>
              </w:rPr>
            </w:pPr>
            <w:r>
              <w:rPr>
                <w:rFonts w:ascii="Times New Roman" w:cs="Times New Roman" w:eastAsia="Times New Roman" w:hAnsi="Times New Roman"/>
                <w:sz w:val="15"/>
                <w:szCs w:val="15"/>
                <w:b w:val="1"/>
                <w:bCs w:val="1"/>
                <w:color w:val="auto"/>
              </w:rPr>
              <w:t>Outstanding Shares as of May 9, 2025</w:t>
            </w:r>
          </w:p>
        </w:tc>
      </w:tr>
      <w:tr>
        <w:trPr>
          <w:trHeight w:val="176"/>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Class A Common Stock, par value $0.0001 per share</w:t>
            </w:r>
          </w:p>
        </w:tc>
        <w:tc>
          <w:tcPr>
            <w:tcW w:w="220" w:type="dxa"/>
            <w:vAlign w:val="bottom"/>
            <w:tcBorders>
              <w:top w:val="single" w:sz="8" w:color="CCEEFF"/>
            </w:tcBorders>
            <w:shd w:val="clear" w:color="auto" w:fill="CCEEFF"/>
          </w:tcPr>
          <w:p>
            <w:pPr>
              <w:spacing w:after="0"/>
              <w:rPr>
                <w:sz w:val="15"/>
                <w:szCs w:val="15"/>
                <w:color w:val="auto"/>
              </w:rPr>
            </w:pPr>
          </w:p>
        </w:tc>
        <w:tc>
          <w:tcPr>
            <w:tcW w:w="5520" w:type="dxa"/>
            <w:vAlign w:val="bottom"/>
            <w:tcBorders>
              <w:top w:val="single" w:sz="8" w:color="auto"/>
            </w:tcBorders>
            <w:shd w:val="clear" w:color="auto" w:fill="CCEEFF"/>
          </w:tcPr>
          <w:p>
            <w:pPr>
              <w:jc w:val="right"/>
              <w:ind w:right="2383"/>
              <w:spacing w:after="0"/>
              <w:rPr>
                <w:sz w:val="20"/>
                <w:szCs w:val="20"/>
                <w:color w:val="auto"/>
              </w:rPr>
            </w:pPr>
            <w:r>
              <w:rPr>
                <w:rFonts w:ascii="Times New Roman" w:cs="Times New Roman" w:eastAsia="Times New Roman" w:hAnsi="Times New Roman"/>
                <w:sz w:val="15"/>
                <w:szCs w:val="15"/>
                <w:b w:val="1"/>
                <w:bCs w:val="1"/>
                <w:color w:val="auto"/>
              </w:rPr>
              <w:t>8,465,080</w:t>
            </w:r>
          </w:p>
        </w:tc>
      </w:tr>
      <w:tr>
        <w:trPr>
          <w:trHeight w:val="203"/>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Class B Common Stock, par value $0.0001 per share</w:t>
            </w:r>
          </w:p>
        </w:tc>
        <w:tc>
          <w:tcPr>
            <w:tcW w:w="5520" w:type="dxa"/>
            <w:vAlign w:val="bottom"/>
          </w:tcPr>
          <w:p>
            <w:pPr>
              <w:jc w:val="right"/>
              <w:ind w:right="2343"/>
              <w:spacing w:after="0"/>
              <w:rPr>
                <w:sz w:val="20"/>
                <w:szCs w:val="20"/>
                <w:color w:val="auto"/>
              </w:rPr>
            </w:pPr>
            <w:r>
              <w:rPr>
                <w:rFonts w:ascii="Times New Roman" w:cs="Times New Roman" w:eastAsia="Times New Roman" w:hAnsi="Times New Roman"/>
                <w:sz w:val="15"/>
                <w:szCs w:val="15"/>
                <w:b w:val="1"/>
                <w:bCs w:val="1"/>
                <w:color w:val="auto"/>
              </w:rPr>
              <w:t>28,748,580</w:t>
            </w:r>
          </w:p>
        </w:tc>
      </w:tr>
      <w:tr>
        <w:trPr>
          <w:trHeight w:val="169"/>
        </w:trPr>
        <w:tc>
          <w:tcPr>
            <w:tcW w:w="5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tcPr>
          <w:p>
            <w:pPr>
              <w:spacing w:after="0"/>
              <w:rPr>
                <w:sz w:val="14"/>
                <w:szCs w:val="14"/>
                <w:color w:val="auto"/>
              </w:rPr>
            </w:pPr>
          </w:p>
        </w:tc>
      </w:tr>
      <w:tr>
        <w:trPr>
          <w:trHeight w:val="61"/>
        </w:trPr>
        <w:tc>
          <w:tcPr>
            <w:tcW w:w="55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r>
      <w:tr>
        <w:trPr>
          <w:trHeight w:val="36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653" w:right="31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20" w:type="dxa"/>
            <w:vAlign w:val="bottom"/>
            <w:gridSpan w:val="7"/>
          </w:tcPr>
          <w:p>
            <w:pPr>
              <w:jc w:val="center"/>
              <w:ind w:right="374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tc>
        <w:tc>
          <w:tcPr>
            <w:tcW w:w="560" w:type="dxa"/>
            <w:vAlign w:val="bottom"/>
          </w:tcPr>
          <w:p>
            <w:pPr>
              <w:spacing w:after="0"/>
              <w:rPr>
                <w:sz w:val="16"/>
                <w:szCs w:val="16"/>
                <w:color w:val="auto"/>
              </w:rPr>
            </w:pPr>
          </w:p>
        </w:tc>
      </w:tr>
      <w:tr>
        <w:trPr>
          <w:trHeight w:val="185"/>
        </w:trPr>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20" w:type="dxa"/>
            <w:vAlign w:val="bottom"/>
            <w:gridSpan w:val="7"/>
          </w:tcPr>
          <w:p>
            <w:pPr>
              <w:jc w:val="center"/>
              <w:ind w:right="3740"/>
              <w:spacing w:after="0"/>
              <w:rPr>
                <w:sz w:val="20"/>
                <w:szCs w:val="20"/>
                <w:color w:val="auto"/>
              </w:rPr>
            </w:pPr>
            <w:r>
              <w:rPr>
                <w:rFonts w:ascii="Times New Roman" w:cs="Times New Roman" w:eastAsia="Times New Roman" w:hAnsi="Times New Roman"/>
                <w:sz w:val="15"/>
                <w:szCs w:val="15"/>
                <w:b w:val="1"/>
                <w:bCs w:val="1"/>
                <w:color w:val="auto"/>
              </w:rPr>
              <w:t>Form 10-Q</w:t>
            </w:r>
          </w:p>
        </w:tc>
        <w:tc>
          <w:tcPr>
            <w:tcW w:w="560" w:type="dxa"/>
            <w:vAlign w:val="bottom"/>
          </w:tcPr>
          <w:p>
            <w:pPr>
              <w:spacing w:after="0"/>
              <w:rPr>
                <w:sz w:val="16"/>
                <w:szCs w:val="16"/>
                <w:color w:val="auto"/>
              </w:rPr>
            </w:pPr>
          </w:p>
        </w:tc>
      </w:tr>
      <w:tr>
        <w:trPr>
          <w:trHeight w:val="203"/>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20" w:type="dxa"/>
            <w:vAlign w:val="bottom"/>
            <w:gridSpan w:val="7"/>
          </w:tcPr>
          <w:p>
            <w:pPr>
              <w:jc w:val="center"/>
              <w:ind w:right="3720"/>
              <w:spacing w:after="0"/>
              <w:rPr>
                <w:sz w:val="20"/>
                <w:szCs w:val="20"/>
                <w:color w:val="auto"/>
              </w:rPr>
            </w:pPr>
            <w:r>
              <w:rPr>
                <w:rFonts w:ascii="Times New Roman" w:cs="Times New Roman" w:eastAsia="Times New Roman" w:hAnsi="Times New Roman"/>
                <w:sz w:val="15"/>
                <w:szCs w:val="15"/>
                <w:b w:val="1"/>
                <w:bCs w:val="1"/>
                <w:color w:val="auto"/>
              </w:rPr>
              <w:t>For the Quarter Ended March 31, 2025</w:t>
            </w:r>
          </w:p>
        </w:tc>
        <w:tc>
          <w:tcPr>
            <w:tcW w:w="560" w:type="dxa"/>
            <w:vAlign w:val="bottom"/>
          </w:tcPr>
          <w:p>
            <w:pPr>
              <w:spacing w:after="0"/>
              <w:rPr>
                <w:sz w:val="17"/>
                <w:szCs w:val="17"/>
                <w:color w:val="auto"/>
              </w:rPr>
            </w:pPr>
          </w:p>
        </w:tc>
      </w:tr>
      <w:tr>
        <w:trPr>
          <w:trHeight w:val="369"/>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gridSpan w:val="7"/>
          </w:tcPr>
          <w:p>
            <w:pPr>
              <w:jc w:val="center"/>
              <w:ind w:right="37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560" w:type="dxa"/>
            <w:vAlign w:val="bottom"/>
          </w:tcPr>
          <w:p>
            <w:pPr>
              <w:spacing w:after="0"/>
              <w:rPr>
                <w:sz w:val="24"/>
                <w:szCs w:val="24"/>
                <w:color w:val="auto"/>
              </w:rPr>
            </w:pPr>
          </w:p>
        </w:tc>
      </w:tr>
      <w:tr>
        <w:trPr>
          <w:trHeight w:val="369"/>
        </w:trPr>
        <w:tc>
          <w:tcPr>
            <w:tcW w:w="5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30"/>
        </w:trPr>
        <w:tc>
          <w:tcPr>
            <w:tcW w:w="540" w:type="dxa"/>
            <w:vAlign w:val="bottom"/>
            <w:tcBorders>
              <w:right w:val="single" w:sz="8" w:color="CCEEFF"/>
            </w:tcBorders>
            <w:shd w:val="clear" w:color="auto" w:fill="CCEEFF"/>
          </w:tcPr>
          <w:p>
            <w:pPr>
              <w:spacing w:after="0"/>
              <w:rPr>
                <w:sz w:val="11"/>
                <w:szCs w:val="11"/>
                <w:color w:val="auto"/>
              </w:rPr>
            </w:pPr>
          </w:p>
        </w:tc>
        <w:tc>
          <w:tcPr>
            <w:tcW w:w="10160" w:type="dxa"/>
            <w:vAlign w:val="bottom"/>
            <w:gridSpan w:val="18"/>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0000EE"/>
              </w:rPr>
              <w:t>Cautionary Statement</w:t>
            </w:r>
          </w:p>
        </w:tc>
        <w:tc>
          <w:tcPr>
            <w:tcW w:w="5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ii</w:t>
            </w:r>
          </w:p>
        </w:tc>
      </w:tr>
      <w:tr>
        <w:trPr>
          <w:trHeight w:val="26"/>
        </w:trPr>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right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r>
      <w:tr>
        <w:trPr>
          <w:trHeight w:val="150"/>
        </w:trPr>
        <w:tc>
          <w:tcPr>
            <w:tcW w:w="2620" w:type="dxa"/>
            <w:vAlign w:val="bottom"/>
            <w:tcBorders>
              <w:bottom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PART I. FINANCIAL INFORMATION</w:t>
            </w:r>
          </w:p>
        </w:tc>
        <w:tc>
          <w:tcPr>
            <w:tcW w:w="8080" w:type="dxa"/>
            <w:vAlign w:val="bottom"/>
            <w:gridSpan w:val="9"/>
          </w:tcPr>
          <w:p>
            <w:pPr>
              <w:spacing w:after="0"/>
              <w:rPr>
                <w:sz w:val="13"/>
                <w:szCs w:val="13"/>
                <w:color w:val="auto"/>
              </w:rPr>
            </w:pPr>
          </w:p>
        </w:tc>
        <w:tc>
          <w:tcPr>
            <w:tcW w:w="560" w:type="dxa"/>
            <w:vAlign w:val="bottom"/>
          </w:tcPr>
          <w:p>
            <w:pPr>
              <w:spacing w:after="0"/>
              <w:rPr>
                <w:sz w:val="13"/>
                <w:szCs w:val="13"/>
                <w:color w:val="auto"/>
              </w:rPr>
            </w:pPr>
          </w:p>
        </w:tc>
      </w:tr>
      <w:tr>
        <w:trPr>
          <w:trHeight w:val="165"/>
        </w:trPr>
        <w:tc>
          <w:tcPr>
            <w:tcW w:w="10700" w:type="dxa"/>
            <w:vAlign w:val="bottom"/>
            <w:gridSpan w:val="19"/>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 xml:space="preserve">Item 1.  </w:t>
            </w:r>
            <w:r>
              <w:rPr>
                <w:rFonts w:ascii="Times New Roman" w:cs="Times New Roman" w:eastAsia="Times New Roman" w:hAnsi="Times New Roman"/>
                <w:sz w:val="15"/>
                <w:szCs w:val="15"/>
                <w:color w:val="0000EE"/>
              </w:rPr>
              <w:t>Condensed Consolidated Financial Statements (Unaudited)</w:t>
            </w:r>
          </w:p>
        </w:tc>
        <w:tc>
          <w:tcPr>
            <w:tcW w:w="5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F-1</w:t>
            </w:r>
          </w:p>
        </w:tc>
      </w:tr>
      <w:tr>
        <w:trPr>
          <w:trHeight w:val="35"/>
        </w:trPr>
        <w:tc>
          <w:tcPr>
            <w:tcW w:w="5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56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50"/>
        </w:trPr>
        <w:tc>
          <w:tcPr>
            <w:tcW w:w="540" w:type="dxa"/>
            <w:vAlign w:val="bottom"/>
          </w:tcPr>
          <w:p>
            <w:pPr>
              <w:spacing w:after="0"/>
              <w:rPr>
                <w:sz w:val="13"/>
                <w:szCs w:val="13"/>
                <w:color w:val="auto"/>
              </w:rPr>
            </w:pPr>
          </w:p>
        </w:tc>
        <w:tc>
          <w:tcPr>
            <w:tcW w:w="10160" w:type="dxa"/>
            <w:vAlign w:val="bottom"/>
            <w:gridSpan w:val="18"/>
          </w:tcPr>
          <w:p>
            <w:pPr>
              <w:spacing w:after="0" w:line="150" w:lineRule="exact"/>
              <w:rPr>
                <w:sz w:val="20"/>
                <w:szCs w:val="20"/>
                <w:color w:val="auto"/>
              </w:rPr>
            </w:pPr>
            <w:r>
              <w:rPr>
                <w:rFonts w:ascii="Times New Roman" w:cs="Times New Roman" w:eastAsia="Times New Roman" w:hAnsi="Times New Roman"/>
                <w:sz w:val="15"/>
                <w:szCs w:val="15"/>
                <w:color w:val="0000EE"/>
              </w:rPr>
              <w:t>Snail, Inc. and Subsidiaries Condensed Consolidated Balance Sheets as of March 31, 2025 and December 31, 2024</w:t>
            </w: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F-1</w:t>
            </w:r>
          </w:p>
        </w:tc>
      </w:tr>
      <w:tr>
        <w:trPr>
          <w:trHeight w:val="20"/>
        </w:trPr>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9"/>
        </w:trPr>
        <w:tc>
          <w:tcPr>
            <w:tcW w:w="540" w:type="dxa"/>
            <w:vAlign w:val="bottom"/>
            <w:tcBorders>
              <w:bottom w:val="single" w:sz="8" w:color="CCEEFF"/>
              <w:right w:val="single" w:sz="8" w:color="CCEEFF"/>
            </w:tcBorders>
            <w:shd w:val="clear" w:color="auto" w:fill="CCEEFF"/>
          </w:tcPr>
          <w:p>
            <w:pPr>
              <w:spacing w:after="0"/>
              <w:rPr>
                <w:sz w:val="15"/>
                <w:szCs w:val="15"/>
                <w:color w:val="auto"/>
              </w:rPr>
            </w:pPr>
          </w:p>
        </w:tc>
        <w:tc>
          <w:tcPr>
            <w:tcW w:w="9760" w:type="dxa"/>
            <w:vAlign w:val="bottom"/>
            <w:tcBorders>
              <w:bottom w:val="single" w:sz="8" w:color="0000EE"/>
            </w:tcBorders>
            <w:gridSpan w:val="17"/>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rPr>
              <w:t>Snail, Inc. and Subsidiaries Condensed Consolidated Statements of Operations and Comprehensive Loss for the three months ended March 31, 2025 and 2024</w:t>
            </w:r>
          </w:p>
        </w:tc>
        <w:tc>
          <w:tcPr>
            <w:tcW w:w="4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F-2</w:t>
            </w:r>
          </w:p>
        </w:tc>
      </w:tr>
      <w:tr>
        <w:trPr>
          <w:trHeight w:val="150"/>
        </w:trPr>
        <w:tc>
          <w:tcPr>
            <w:tcW w:w="540" w:type="dxa"/>
            <w:vAlign w:val="bottom"/>
          </w:tcPr>
          <w:p>
            <w:pPr>
              <w:spacing w:after="0"/>
              <w:rPr>
                <w:sz w:val="13"/>
                <w:szCs w:val="13"/>
                <w:color w:val="auto"/>
              </w:rPr>
            </w:pPr>
          </w:p>
        </w:tc>
        <w:tc>
          <w:tcPr>
            <w:tcW w:w="7900" w:type="dxa"/>
            <w:vAlign w:val="bottom"/>
            <w:tcBorders>
              <w:bottom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5"/>
                <w:szCs w:val="15"/>
                <w:color w:val="0000EE"/>
              </w:rPr>
              <w:t>Snail, Inc. and Subsidiaries Condensed Consolidated Statements of Equity for the three months ended March 31, 2025 and 2024</w:t>
            </w:r>
          </w:p>
        </w:tc>
        <w:tc>
          <w:tcPr>
            <w:tcW w:w="2260" w:type="dxa"/>
            <w:vAlign w:val="bottom"/>
            <w:gridSpan w:val="3"/>
          </w:tcPr>
          <w:p>
            <w:pPr>
              <w:spacing w:after="0"/>
              <w:rPr>
                <w:sz w:val="13"/>
                <w:szCs w:val="13"/>
                <w:color w:val="auto"/>
              </w:rPr>
            </w:pP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F-3</w:t>
            </w:r>
          </w:p>
        </w:tc>
      </w:tr>
      <w:tr>
        <w:trPr>
          <w:trHeight w:val="179"/>
        </w:trPr>
        <w:tc>
          <w:tcPr>
            <w:tcW w:w="540" w:type="dxa"/>
            <w:vAlign w:val="bottom"/>
            <w:tcBorders>
              <w:right w:val="single" w:sz="8" w:color="CCEEFF"/>
            </w:tcBorders>
            <w:shd w:val="clear" w:color="auto" w:fill="CCEEFF"/>
          </w:tcPr>
          <w:p>
            <w:pPr>
              <w:spacing w:after="0"/>
              <w:rPr>
                <w:sz w:val="15"/>
                <w:szCs w:val="15"/>
                <w:color w:val="auto"/>
              </w:rPr>
            </w:pPr>
          </w:p>
        </w:tc>
        <w:tc>
          <w:tcPr>
            <w:tcW w:w="10160" w:type="dxa"/>
            <w:vAlign w:val="bottom"/>
            <w:gridSpan w:val="18"/>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rPr>
              <w:t>Snail, Inc. and Subsidiaries Condensed Consolidated Statements of Cash Flows for the three months ended March 31, 2025 and 2024</w:t>
            </w:r>
          </w:p>
        </w:tc>
        <w:tc>
          <w:tcPr>
            <w:tcW w:w="5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F-4</w:t>
            </w:r>
          </w:p>
        </w:tc>
      </w:tr>
      <w:tr>
        <w:trPr>
          <w:trHeight w:val="157"/>
        </w:trPr>
        <w:tc>
          <w:tcPr>
            <w:tcW w:w="540" w:type="dxa"/>
            <w:vAlign w:val="bottom"/>
            <w:tcBorders>
              <w:top w:val="single" w:sz="8" w:color="CCEEFF"/>
            </w:tcBorders>
          </w:tcPr>
          <w:p>
            <w:pPr>
              <w:spacing w:after="0"/>
              <w:rPr>
                <w:sz w:val="13"/>
                <w:szCs w:val="13"/>
                <w:color w:val="auto"/>
              </w:rPr>
            </w:pPr>
          </w:p>
        </w:tc>
        <w:tc>
          <w:tcPr>
            <w:tcW w:w="5140" w:type="dxa"/>
            <w:vAlign w:val="bottom"/>
            <w:tcBorders>
              <w:top w:val="single" w:sz="8" w:color="0000EE"/>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5"/>
                <w:szCs w:val="15"/>
                <w:color w:val="0000EE"/>
              </w:rPr>
              <w:t>Snail, Inc. and Subsidiaries Notes to Condensed Consolidated Financial Statements</w:t>
            </w:r>
          </w:p>
        </w:tc>
        <w:tc>
          <w:tcPr>
            <w:tcW w:w="3060" w:type="dxa"/>
            <w:vAlign w:val="bottom"/>
            <w:tcBorders>
              <w:top w:val="single" w:sz="8" w:color="0000EE"/>
            </w:tcBorders>
            <w:gridSpan w:val="4"/>
          </w:tcPr>
          <w:p>
            <w:pPr>
              <w:spacing w:after="0"/>
              <w:rPr>
                <w:sz w:val="13"/>
                <w:szCs w:val="13"/>
                <w:color w:val="auto"/>
              </w:rPr>
            </w:pPr>
          </w:p>
        </w:tc>
        <w:tc>
          <w:tcPr>
            <w:tcW w:w="1960" w:type="dxa"/>
            <w:vAlign w:val="bottom"/>
            <w:tcBorders>
              <w:top w:val="single" w:sz="8" w:color="CCEEFF"/>
            </w:tcBorders>
            <w:gridSpan w:val="2"/>
          </w:tcPr>
          <w:p>
            <w:pPr>
              <w:spacing w:after="0"/>
              <w:rPr>
                <w:sz w:val="13"/>
                <w:szCs w:val="13"/>
                <w:color w:val="auto"/>
              </w:rPr>
            </w:pPr>
          </w:p>
        </w:tc>
        <w:tc>
          <w:tcPr>
            <w:tcW w:w="560" w:type="dxa"/>
            <w:vAlign w:val="bottom"/>
            <w:tcBorders>
              <w:top w:val="single" w:sz="8" w:color="CCEEFF"/>
            </w:tcBorders>
          </w:tcPr>
          <w:p>
            <w:pPr>
              <w:jc w:val="right"/>
              <w:spacing w:after="0" w:line="150" w:lineRule="exact"/>
              <w:rPr>
                <w:sz w:val="20"/>
                <w:szCs w:val="20"/>
                <w:color w:val="auto"/>
              </w:rPr>
            </w:pPr>
            <w:r>
              <w:rPr>
                <w:rFonts w:ascii="Times New Roman" w:cs="Times New Roman" w:eastAsia="Times New Roman" w:hAnsi="Times New Roman"/>
                <w:sz w:val="15"/>
                <w:szCs w:val="15"/>
                <w:color w:val="auto"/>
              </w:rPr>
              <w:t>F-5</w:t>
            </w:r>
          </w:p>
        </w:tc>
      </w:tr>
      <w:tr>
        <w:trPr>
          <w:trHeight w:val="157"/>
        </w:trPr>
        <w:tc>
          <w:tcPr>
            <w:tcW w:w="10700" w:type="dxa"/>
            <w:vAlign w:val="bottom"/>
            <w:gridSpan w:val="19"/>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 xml:space="preserve">Item 2.  </w:t>
            </w:r>
            <w:r>
              <w:rPr>
                <w:rFonts w:ascii="Times New Roman" w:cs="Times New Roman" w:eastAsia="Times New Roman" w:hAnsi="Times New Roman"/>
                <w:sz w:val="15"/>
                <w:szCs w:val="15"/>
                <w:color w:val="0000EE"/>
              </w:rPr>
              <w:t>Management’s Discussion and Analysis of Financial Condition and Results of Operations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30</w:t>
            </w:r>
          </w:p>
        </w:tc>
      </w:tr>
      <w:tr>
        <w:trPr>
          <w:trHeight w:val="35"/>
        </w:trPr>
        <w:tc>
          <w:tcPr>
            <w:tcW w:w="5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56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50"/>
        </w:trPr>
        <w:tc>
          <w:tcPr>
            <w:tcW w:w="10700" w:type="dxa"/>
            <w:vAlign w:val="bottom"/>
            <w:gridSpan w:val="19"/>
          </w:tcPr>
          <w:p>
            <w:pPr>
              <w:spacing w:after="0" w:line="150" w:lineRule="exact"/>
              <w:rPr>
                <w:sz w:val="20"/>
                <w:szCs w:val="20"/>
                <w:color w:val="auto"/>
              </w:rPr>
            </w:pPr>
            <w:r>
              <w:rPr>
                <w:rFonts w:ascii="Times New Roman" w:cs="Times New Roman" w:eastAsia="Times New Roman" w:hAnsi="Times New Roman"/>
                <w:sz w:val="15"/>
                <w:szCs w:val="15"/>
                <w:color w:val="auto"/>
              </w:rPr>
              <w:t xml:space="preserve">Item 3.  </w:t>
            </w:r>
            <w:r>
              <w:rPr>
                <w:rFonts w:ascii="Times New Roman" w:cs="Times New Roman" w:eastAsia="Times New Roman" w:hAnsi="Times New Roman"/>
                <w:sz w:val="15"/>
                <w:szCs w:val="15"/>
                <w:color w:val="0000EE"/>
              </w:rPr>
              <w:t>Quantitative and Qualitative Disclosures About Market Risk</w:t>
            </w: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42</w:t>
            </w:r>
          </w:p>
        </w:tc>
      </w:tr>
      <w:tr>
        <w:trPr>
          <w:trHeight w:val="27"/>
        </w:trPr>
        <w:tc>
          <w:tcPr>
            <w:tcW w:w="5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5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57"/>
        </w:trPr>
        <w:tc>
          <w:tcPr>
            <w:tcW w:w="10700" w:type="dxa"/>
            <w:vAlign w:val="bottom"/>
            <w:gridSpan w:val="19"/>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 xml:space="preserve">Item 4.  </w:t>
            </w:r>
            <w:r>
              <w:rPr>
                <w:rFonts w:ascii="Times New Roman" w:cs="Times New Roman" w:eastAsia="Times New Roman" w:hAnsi="Times New Roman"/>
                <w:sz w:val="15"/>
                <w:szCs w:val="15"/>
                <w:color w:val="0000EE"/>
              </w:rPr>
              <w:t>Controls and Procedures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42</w:t>
            </w:r>
          </w:p>
        </w:tc>
      </w:tr>
      <w:tr>
        <w:trPr>
          <w:trHeight w:val="35"/>
        </w:trPr>
        <w:tc>
          <w:tcPr>
            <w:tcW w:w="5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57"/>
        </w:trPr>
        <w:tc>
          <w:tcPr>
            <w:tcW w:w="2360" w:type="dxa"/>
            <w:vAlign w:val="bottom"/>
            <w:tcBorders>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PART II. OTHER INFORMATION</w:t>
            </w:r>
          </w:p>
        </w:tc>
        <w:tc>
          <w:tcPr>
            <w:tcW w:w="8340" w:type="dxa"/>
            <w:vAlign w:val="bottom"/>
            <w:gridSpan w:val="11"/>
          </w:tcPr>
          <w:p>
            <w:pPr>
              <w:spacing w:after="0"/>
              <w:rPr>
                <w:sz w:val="13"/>
                <w:szCs w:val="13"/>
                <w:color w:val="auto"/>
              </w:rPr>
            </w:pPr>
          </w:p>
        </w:tc>
        <w:tc>
          <w:tcPr>
            <w:tcW w:w="560" w:type="dxa"/>
            <w:vAlign w:val="bottom"/>
          </w:tcPr>
          <w:p>
            <w:pPr>
              <w:spacing w:after="0"/>
              <w:rPr>
                <w:sz w:val="13"/>
                <w:szCs w:val="13"/>
                <w:color w:val="auto"/>
              </w:rPr>
            </w:pPr>
          </w:p>
        </w:tc>
      </w:tr>
      <w:tr>
        <w:trPr>
          <w:trHeight w:val="157"/>
        </w:trPr>
        <w:tc>
          <w:tcPr>
            <w:tcW w:w="540" w:type="dxa"/>
            <w:vAlign w:val="bottom"/>
            <w:tcBorders>
              <w:right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1.</w:t>
            </w:r>
          </w:p>
        </w:tc>
        <w:tc>
          <w:tcPr>
            <w:tcW w:w="10160" w:type="dxa"/>
            <w:vAlign w:val="bottom"/>
            <w:gridSpan w:val="18"/>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Legal Proceedings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43</w:t>
            </w:r>
          </w:p>
        </w:tc>
      </w:tr>
      <w:tr>
        <w:trPr>
          <w:trHeight w:val="35"/>
        </w:trPr>
        <w:tc>
          <w:tcPr>
            <w:tcW w:w="5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50"/>
        </w:trPr>
        <w:tc>
          <w:tcPr>
            <w:tcW w:w="10700" w:type="dxa"/>
            <w:vAlign w:val="bottom"/>
            <w:gridSpan w:val="19"/>
          </w:tcPr>
          <w:p>
            <w:pPr>
              <w:spacing w:after="0" w:line="150" w:lineRule="exact"/>
              <w:rPr>
                <w:sz w:val="20"/>
                <w:szCs w:val="20"/>
                <w:color w:val="auto"/>
              </w:rPr>
            </w:pPr>
            <w:r>
              <w:rPr>
                <w:rFonts w:ascii="Times New Roman" w:cs="Times New Roman" w:eastAsia="Times New Roman" w:hAnsi="Times New Roman"/>
                <w:sz w:val="15"/>
                <w:szCs w:val="15"/>
                <w:color w:val="auto"/>
              </w:rPr>
              <w:t>Item 1A.</w:t>
            </w:r>
            <w:r>
              <w:rPr>
                <w:rFonts w:ascii="Times New Roman" w:cs="Times New Roman" w:eastAsia="Times New Roman" w:hAnsi="Times New Roman"/>
                <w:sz w:val="15"/>
                <w:szCs w:val="15"/>
                <w:color w:val="0000EE"/>
              </w:rPr>
              <w:t>Risk Factors</w:t>
            </w: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43</w:t>
            </w:r>
          </w:p>
        </w:tc>
      </w:tr>
      <w:tr>
        <w:trPr>
          <w:trHeight w:val="27"/>
        </w:trPr>
        <w:tc>
          <w:tcPr>
            <w:tcW w:w="5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57"/>
        </w:trPr>
        <w:tc>
          <w:tcPr>
            <w:tcW w:w="10700" w:type="dxa"/>
            <w:vAlign w:val="bottom"/>
            <w:gridSpan w:val="19"/>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 xml:space="preserve">Item 2.  </w:t>
            </w:r>
            <w:r>
              <w:rPr>
                <w:rFonts w:ascii="Times New Roman" w:cs="Times New Roman" w:eastAsia="Times New Roman" w:hAnsi="Times New Roman"/>
                <w:sz w:val="15"/>
                <w:szCs w:val="15"/>
                <w:color w:val="0000EE"/>
              </w:rPr>
              <w:t>Unregistered Sales of Equity Securities and Use of Proceeds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51</w:t>
            </w:r>
          </w:p>
        </w:tc>
      </w:tr>
      <w:tr>
        <w:trPr>
          <w:trHeight w:val="35"/>
        </w:trPr>
        <w:tc>
          <w:tcPr>
            <w:tcW w:w="5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56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0000EE"/>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50"/>
        </w:trPr>
        <w:tc>
          <w:tcPr>
            <w:tcW w:w="10700" w:type="dxa"/>
            <w:vAlign w:val="bottom"/>
            <w:gridSpan w:val="19"/>
          </w:tcPr>
          <w:p>
            <w:pPr>
              <w:spacing w:after="0" w:line="150" w:lineRule="exact"/>
              <w:rPr>
                <w:sz w:val="20"/>
                <w:szCs w:val="20"/>
                <w:color w:val="auto"/>
              </w:rPr>
            </w:pPr>
            <w:r>
              <w:rPr>
                <w:rFonts w:ascii="Times New Roman" w:cs="Times New Roman" w:eastAsia="Times New Roman" w:hAnsi="Times New Roman"/>
                <w:sz w:val="15"/>
                <w:szCs w:val="15"/>
                <w:color w:val="auto"/>
              </w:rPr>
              <w:t xml:space="preserve">Item 3.  </w:t>
            </w:r>
            <w:r>
              <w:rPr>
                <w:rFonts w:ascii="Times New Roman" w:cs="Times New Roman" w:eastAsia="Times New Roman" w:hAnsi="Times New Roman"/>
                <w:sz w:val="15"/>
                <w:szCs w:val="15"/>
                <w:color w:val="0000EE"/>
              </w:rPr>
              <w:t>Defaults Upon Senior Securities</w:t>
            </w: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52</w:t>
            </w:r>
          </w:p>
        </w:tc>
      </w:tr>
      <w:tr>
        <w:trPr>
          <w:trHeight w:val="27"/>
        </w:trPr>
        <w:tc>
          <w:tcPr>
            <w:tcW w:w="54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2"/>
        </w:trPr>
        <w:tc>
          <w:tcPr>
            <w:tcW w:w="10700" w:type="dxa"/>
            <w:vAlign w:val="bottom"/>
            <w:gridSpan w:val="19"/>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 xml:space="preserve">Item 4.  </w:t>
            </w:r>
            <w:r>
              <w:rPr>
                <w:rFonts w:ascii="Times New Roman" w:cs="Times New Roman" w:eastAsia="Times New Roman" w:hAnsi="Times New Roman"/>
                <w:sz w:val="15"/>
                <w:szCs w:val="15"/>
                <w:color w:val="0000EE"/>
              </w:rPr>
              <w:t>Mine Safety Disclosures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52</w:t>
            </w:r>
          </w:p>
        </w:tc>
      </w:tr>
      <w:tr>
        <w:trPr>
          <w:trHeight w:val="157"/>
        </w:trPr>
        <w:tc>
          <w:tcPr>
            <w:tcW w:w="540" w:type="dxa"/>
            <w:vAlign w:val="bottom"/>
            <w:tcBorders>
              <w:top w:val="single" w:sz="8" w:color="CCEEFF"/>
            </w:tcBorders>
          </w:tcPr>
          <w:p>
            <w:pPr>
              <w:spacing w:after="0" w:line="150" w:lineRule="exact"/>
              <w:rPr>
                <w:sz w:val="20"/>
                <w:szCs w:val="20"/>
                <w:color w:val="auto"/>
              </w:rPr>
            </w:pPr>
            <w:r>
              <w:rPr>
                <w:rFonts w:ascii="Times New Roman" w:cs="Times New Roman" w:eastAsia="Times New Roman" w:hAnsi="Times New Roman"/>
                <w:sz w:val="15"/>
                <w:szCs w:val="15"/>
                <w:color w:val="auto"/>
              </w:rPr>
              <w:t>Item 5.</w:t>
            </w:r>
          </w:p>
        </w:tc>
        <w:tc>
          <w:tcPr>
            <w:tcW w:w="1520" w:type="dxa"/>
            <w:vAlign w:val="bottom"/>
            <w:tcBorders>
              <w:top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5"/>
                <w:szCs w:val="15"/>
                <w:color w:val="0000EE"/>
              </w:rPr>
              <w:t>Other Information</w:t>
            </w:r>
          </w:p>
        </w:tc>
        <w:tc>
          <w:tcPr>
            <w:tcW w:w="8640" w:type="dxa"/>
            <w:vAlign w:val="bottom"/>
            <w:tcBorders>
              <w:top w:val="single" w:sz="8" w:color="CCEEFF"/>
            </w:tcBorders>
            <w:gridSpan w:val="12"/>
          </w:tcPr>
          <w:p>
            <w:pPr>
              <w:spacing w:after="0"/>
              <w:rPr>
                <w:sz w:val="13"/>
                <w:szCs w:val="13"/>
                <w:color w:val="auto"/>
              </w:rPr>
            </w:pPr>
          </w:p>
        </w:tc>
        <w:tc>
          <w:tcPr>
            <w:tcW w:w="560" w:type="dxa"/>
            <w:vAlign w:val="bottom"/>
            <w:tcBorders>
              <w:top w:val="single" w:sz="8" w:color="CCEEFF"/>
            </w:tcBorders>
          </w:tcPr>
          <w:p>
            <w:pPr>
              <w:jc w:val="right"/>
              <w:spacing w:after="0" w:line="150" w:lineRule="exact"/>
              <w:rPr>
                <w:sz w:val="20"/>
                <w:szCs w:val="20"/>
                <w:color w:val="auto"/>
              </w:rPr>
            </w:pPr>
            <w:r>
              <w:rPr>
                <w:rFonts w:ascii="Times New Roman" w:cs="Times New Roman" w:eastAsia="Times New Roman" w:hAnsi="Times New Roman"/>
                <w:sz w:val="15"/>
                <w:szCs w:val="15"/>
                <w:color w:val="auto"/>
              </w:rPr>
              <w:t>52</w:t>
            </w:r>
          </w:p>
        </w:tc>
      </w:tr>
      <w:tr>
        <w:trPr>
          <w:trHeight w:val="172"/>
        </w:trPr>
        <w:tc>
          <w:tcPr>
            <w:tcW w:w="540" w:type="dxa"/>
            <w:vAlign w:val="bottom"/>
            <w:tcBorders>
              <w:bottom w:val="single" w:sz="8" w:color="CCEEFF"/>
              <w:right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6.</w:t>
            </w:r>
          </w:p>
        </w:tc>
        <w:tc>
          <w:tcPr>
            <w:tcW w:w="520" w:type="dxa"/>
            <w:vAlign w:val="bottom"/>
            <w:tcBorders>
              <w:top w:val="single" w:sz="8" w:color="0000EE"/>
              <w:bottom w:val="single" w:sz="8" w:color="0000EE"/>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w w:val="99"/>
              </w:rPr>
              <w:t>Exhibits</w:t>
            </w:r>
          </w:p>
        </w:tc>
        <w:tc>
          <w:tcPr>
            <w:tcW w:w="620" w:type="dxa"/>
            <w:vAlign w:val="bottom"/>
            <w:tcBorders>
              <w:top w:val="single" w:sz="8" w:color="0000EE"/>
              <w:bottom w:val="single" w:sz="8" w:color="CCEEFF"/>
              <w:right w:val="single" w:sz="8" w:color="CCEEFF"/>
            </w:tcBorders>
            <w:gridSpan w:val="2"/>
            <w:shd w:val="clear" w:color="auto" w:fill="CCEEFF"/>
          </w:tcPr>
          <w:p>
            <w:pPr>
              <w:spacing w:after="0"/>
              <w:rPr>
                <w:sz w:val="14"/>
                <w:szCs w:val="14"/>
                <w:color w:val="auto"/>
              </w:rPr>
            </w:pPr>
          </w:p>
        </w:tc>
        <w:tc>
          <w:tcPr>
            <w:tcW w:w="9020" w:type="dxa"/>
            <w:vAlign w:val="bottom"/>
            <w:tcBorders>
              <w:bottom w:val="single" w:sz="8" w:color="CCEEFF"/>
            </w:tcBorders>
            <w:gridSpan w:val="14"/>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52</w:t>
            </w:r>
          </w:p>
        </w:tc>
      </w:tr>
      <w:tr>
        <w:trPr>
          <w:trHeight w:val="150"/>
        </w:trPr>
        <w:tc>
          <w:tcPr>
            <w:tcW w:w="94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w w:val="98"/>
              </w:rPr>
              <w:t>SIGNATURES</w:t>
            </w:r>
          </w:p>
        </w:tc>
        <w:tc>
          <w:tcPr>
            <w:tcW w:w="9760" w:type="dxa"/>
            <w:vAlign w:val="bottom"/>
            <w:gridSpan w:val="17"/>
          </w:tcPr>
          <w:p>
            <w:pPr>
              <w:spacing w:after="0"/>
              <w:rPr>
                <w:sz w:val="13"/>
                <w:szCs w:val="13"/>
                <w:color w:val="auto"/>
              </w:rPr>
            </w:pP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53</w:t>
            </w:r>
          </w:p>
        </w:tc>
      </w:tr>
    </w:tbl>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20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spacing w:after="0" w:line="14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spacing w:after="0" w:line="340" w:lineRule="exact"/>
        <w:rPr>
          <w:sz w:val="20"/>
          <w:szCs w:val="20"/>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re-establish profitable operations, raise additional capital or renegotiate our debt arrangements;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growth prospects and strategies;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launching new games and additional functionality to games that are commercially successful;</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significant drivers of our future growth;</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or regain compliance with the continued listing requirements of the Nasdaq Capital Market;</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and increase our player base and develop new video games and enhance our existing games;</w:t>
      </w:r>
    </w:p>
    <w:p>
      <w:pPr>
        <w:spacing w:after="0" w:line="196" w:lineRule="exact"/>
        <w:rPr>
          <w:rFonts w:ascii="Times New Roman" w:cs="Times New Roman" w:eastAsia="Times New Roman" w:hAnsi="Times New Roman"/>
          <w:sz w:val="15"/>
          <w:szCs w:val="15"/>
          <w:color w:val="auto"/>
        </w:rPr>
      </w:pPr>
    </w:p>
    <w:p>
      <w:pPr>
        <w:ind w:left="540" w:right="20" w:hanging="271"/>
        <w:spacing w:after="0" w:line="293"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from companies in a number of industries, including other casual game developers and publishers and both large and small, public and private multimedia companies;</w:t>
      </w:r>
    </w:p>
    <w:p>
      <w:pPr>
        <w:spacing w:after="0" w:line="132"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a qualified management team and other team members while controlling our labor costs;</w:t>
      </w:r>
    </w:p>
    <w:p>
      <w:pPr>
        <w:spacing w:after="0" w:line="196" w:lineRule="exact"/>
        <w:rPr>
          <w:rFonts w:ascii="Times New Roman" w:cs="Times New Roman" w:eastAsia="Times New Roman" w:hAnsi="Times New Roman"/>
          <w:sz w:val="15"/>
          <w:szCs w:val="15"/>
          <w:color w:val="auto"/>
        </w:rPr>
      </w:pPr>
    </w:p>
    <w:p>
      <w:pPr>
        <w:ind w:left="540" w:hanging="271"/>
        <w:spacing w:after="0" w:line="293"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relationships with third-party platforms such as Xbox Live and Game Pass, PlayStation Network, Steam, Epic Games Store, the Apple App Store, the Google Play Store, My Nintendo Store and the Amazon Appstore;</w:t>
      </w:r>
    </w:p>
    <w:p>
      <w:pPr>
        <w:spacing w:after="0" w:line="132"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enter new markets and manage our international expansion;</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protecting and developing our brand and intellectual property portfolio;</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defending intellectual property infringement and other claims;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business development, results of operations and financial condition;</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rulings by courts or other governmental authorities;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Share Repurchase Program (as defined below), including expectations regarding the timing and manner of repurchases made under the Share Repurchase Program;</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pursue and successfully integrate strategic acquisitions;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described in this Quarterly Report, including those described in Item 1A of Part II, “Risk Factors”; and</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assumptions underlying any of the foregoing.</w:t>
      </w:r>
    </w:p>
    <w:p>
      <w:pPr>
        <w:spacing w:after="0" w:line="197"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Further information on risks, uncertainties and other factors that could affect our financial results are included in our filings with the United States Securities and Exchange Commission (the “SEC”) from time to time, including in Item 1A of Part II,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Condensed Consolidated Financial Statement (Unaudited)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 as of March 31, 2025 and December 31,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i w:val="1"/>
                <w:iCs w:val="1"/>
                <w:color w:val="auto"/>
              </w:rPr>
              <w:t>March 31, 2025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i w:val="1"/>
                <w:iCs w:val="1"/>
                <w:color w:val="auto"/>
              </w:rPr>
              <w:t>December 31, 2024</w:t>
            </w:r>
          </w:p>
        </w:tc>
      </w:tr>
      <w:tr>
        <w:trPr>
          <w:trHeight w:val="176"/>
        </w:trPr>
        <w:tc>
          <w:tcPr>
            <w:tcW w:w="69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9,359,116</w:t>
            </w:r>
          </w:p>
        </w:tc>
        <w:tc>
          <w:tcPr>
            <w:tcW w:w="36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7,303,944</w:t>
            </w:r>
          </w:p>
        </w:tc>
        <w:tc>
          <w:tcPr>
            <w:tcW w:w="100" w:type="dxa"/>
            <w:vAlign w:val="bottom"/>
          </w:tcPr>
          <w:p>
            <w:pPr>
              <w:spacing w:after="0"/>
              <w:rPr>
                <w:sz w:val="16"/>
                <w:szCs w:val="16"/>
                <w:color w:val="auto"/>
              </w:rPr>
            </w:pPr>
          </w:p>
        </w:tc>
      </w:tr>
      <w:tr>
        <w:trPr>
          <w:trHeight w:val="170"/>
        </w:trPr>
        <w:tc>
          <w:tcPr>
            <w:tcW w:w="69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5"/>
                <w:szCs w:val="15"/>
                <w:color w:val="auto"/>
              </w:rPr>
              <w:t>Accounts receivable, net of allowance for credit losses of $523,500 as of March 31, 2025 and December</w:t>
            </w:r>
          </w:p>
        </w:tc>
        <w:tc>
          <w:tcPr>
            <w:tcW w:w="2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31, 2024</w:t>
            </w:r>
          </w:p>
        </w:tc>
        <w:tc>
          <w:tcPr>
            <w:tcW w:w="2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9,118,269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9,814,822</w:t>
            </w:r>
          </w:p>
        </w:tc>
        <w:tc>
          <w:tcPr>
            <w:tcW w:w="100" w:type="dxa"/>
            <w:vAlign w:val="bottom"/>
            <w:shd w:val="clear" w:color="auto" w:fill="CCEEFF"/>
          </w:tcPr>
          <w:p>
            <w:pPr>
              <w:spacing w:after="0"/>
              <w:rPr>
                <w:sz w:val="17"/>
                <w:szCs w:val="17"/>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28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1,332,867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2,336,274</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Loan and interest receivable - related party</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106,252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105,759</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 - related party</w:t>
            </w:r>
          </w:p>
        </w:tc>
        <w:tc>
          <w:tcPr>
            <w:tcW w:w="28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2,536,748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2,521,291</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1,468,062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1,846,024</w:t>
            </w:r>
          </w:p>
        </w:tc>
        <w:tc>
          <w:tcPr>
            <w:tcW w:w="100" w:type="dxa"/>
            <w:vAlign w:val="bottom"/>
            <w:shd w:val="clear" w:color="auto" w:fill="CCEEFF"/>
          </w:tcPr>
          <w:p>
            <w:pPr>
              <w:spacing w:after="0"/>
              <w:rPr>
                <w:sz w:val="16"/>
                <w:szCs w:val="16"/>
                <w:color w:val="auto"/>
              </w:rPr>
            </w:pPr>
          </w:p>
        </w:tc>
      </w:tr>
      <w:tr>
        <w:trPr>
          <w:trHeight w:val="19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taxes</w:t>
            </w:r>
          </w:p>
        </w:tc>
        <w:tc>
          <w:tcPr>
            <w:tcW w:w="280" w:type="dxa"/>
            <w:vAlign w:val="bottom"/>
          </w:tcPr>
          <w:p>
            <w:pPr>
              <w:spacing w:after="0"/>
              <w:rPr>
                <w:sz w:val="17"/>
                <w:szCs w:val="17"/>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7,174,973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7,318,424</w:t>
            </w:r>
          </w:p>
        </w:tc>
        <w:tc>
          <w:tcPr>
            <w:tcW w:w="100" w:type="dxa"/>
            <w:vAlign w:val="bottom"/>
          </w:tcPr>
          <w:p>
            <w:pPr>
              <w:spacing w:after="0"/>
              <w:rPr>
                <w:sz w:val="17"/>
                <w:szCs w:val="17"/>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31,096,287</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31,246,538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5"/>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 and cash equivalents</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935,000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935,000</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 related party, net of current portion</w:t>
            </w:r>
          </w:p>
        </w:tc>
        <w:tc>
          <w:tcPr>
            <w:tcW w:w="28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592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1,500,592</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 related party, net of current portion</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9,907,669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9,378,594</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8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4,310,448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4,378,352</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2,159,141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973,914</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12,852,299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10,817,112</w:t>
            </w: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assets, net</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2,282,709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1,683,932</w:t>
            </w:r>
          </w:p>
        </w:tc>
        <w:tc>
          <w:tcPr>
            <w:tcW w:w="100" w:type="dxa"/>
            <w:vAlign w:val="bottom"/>
            <w:shd w:val="clear" w:color="auto" w:fill="CCEEFF"/>
          </w:tcPr>
          <w:p>
            <w:pPr>
              <w:spacing w:after="0"/>
              <w:rPr>
                <w:sz w:val="16"/>
                <w:szCs w:val="16"/>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280" w:type="dxa"/>
            <w:vAlign w:val="bottom"/>
          </w:tcPr>
          <w:p>
            <w:pPr>
              <w:spacing w:after="0"/>
              <w:rPr>
                <w:sz w:val="17"/>
                <w:szCs w:val="17"/>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953,082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1,279,330</w:t>
            </w:r>
          </w:p>
        </w:tc>
        <w:tc>
          <w:tcPr>
            <w:tcW w:w="100" w:type="dxa"/>
            <w:vAlign w:val="bottom"/>
          </w:tcPr>
          <w:p>
            <w:pPr>
              <w:spacing w:after="0"/>
              <w:rPr>
                <w:sz w:val="17"/>
                <w:szCs w:val="17"/>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64,497,227</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62,193,364</w:t>
            </w:r>
          </w:p>
        </w:tc>
        <w:tc>
          <w:tcPr>
            <w:tcW w:w="100" w:type="dxa"/>
            <w:vAlign w:val="bottom"/>
            <w:tcBorders>
              <w:top w:val="single" w:sz="8" w:color="CCEEFF"/>
            </w:tcBorders>
            <w:shd w:val="clear" w:color="auto" w:fill="CCEEFF"/>
          </w:tcPr>
          <w:p>
            <w:pPr>
              <w:spacing w:after="0"/>
              <w:rPr>
                <w:sz w:val="15"/>
                <w:szCs w:val="15"/>
                <w:color w:val="auto"/>
              </w:rPr>
            </w:pPr>
          </w:p>
        </w:tc>
      </w:tr>
      <w:tr>
        <w:trPr>
          <w:trHeight w:val="176"/>
        </w:trPr>
        <w:tc>
          <w:tcPr>
            <w:tcW w:w="6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NONCONTROLLING INTERESTS AND STOCKHOLDERS’ EQUITY</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4,241,403</w:t>
            </w:r>
          </w:p>
        </w:tc>
        <w:tc>
          <w:tcPr>
            <w:tcW w:w="36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4,656,367</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 - related party</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15,716,600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15,383,171</w:t>
            </w: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8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2,886,414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4,499,280</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payable - related parties</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527,770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527,770</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Revolving loan</w:t>
            </w:r>
          </w:p>
        </w:tc>
        <w:tc>
          <w:tcPr>
            <w:tcW w:w="28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3,000,000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Convertible notes at fair value</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2,854,518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portion of long-term promissory note</w:t>
            </w:r>
          </w:p>
        </w:tc>
        <w:tc>
          <w:tcPr>
            <w:tcW w:w="28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2,701,003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2,722,548</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deferred revenue</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3,864,474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3,947,559</w:t>
            </w:r>
          </w:p>
        </w:tc>
        <w:tc>
          <w:tcPr>
            <w:tcW w:w="100" w:type="dxa"/>
            <w:vAlign w:val="bottom"/>
            <w:shd w:val="clear" w:color="auto" w:fill="CCEEFF"/>
          </w:tcPr>
          <w:p>
            <w:pPr>
              <w:spacing w:after="0"/>
              <w:rPr>
                <w:sz w:val="16"/>
                <w:szCs w:val="16"/>
                <w:color w:val="auto"/>
              </w:rPr>
            </w:pPr>
          </w:p>
        </w:tc>
      </w:tr>
      <w:tr>
        <w:trPr>
          <w:trHeight w:val="19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80" w:type="dxa"/>
            <w:vAlign w:val="bottom"/>
          </w:tcPr>
          <w:p>
            <w:pPr>
              <w:spacing w:after="0"/>
              <w:rPr>
                <w:sz w:val="17"/>
                <w:szCs w:val="17"/>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1,042,688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1,444,385</w:t>
            </w:r>
          </w:p>
        </w:tc>
        <w:tc>
          <w:tcPr>
            <w:tcW w:w="100" w:type="dxa"/>
            <w:vAlign w:val="bottom"/>
          </w:tcPr>
          <w:p>
            <w:pPr>
              <w:spacing w:after="0"/>
              <w:rPr>
                <w:sz w:val="17"/>
                <w:szCs w:val="17"/>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36,834,870</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36,181,080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5"/>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expenses</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265,251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265,251</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net of current portion</w:t>
            </w:r>
          </w:p>
        </w:tc>
        <w:tc>
          <w:tcPr>
            <w:tcW w:w="28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23,740,999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21,519,888</w:t>
            </w: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2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52,921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57,983</w:t>
            </w:r>
          </w:p>
        </w:tc>
      </w:tr>
      <w:tr>
        <w:trPr>
          <w:trHeight w:val="17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2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60,894,041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58,024,202</w:t>
            </w:r>
          </w:p>
        </w:tc>
        <w:tc>
          <w:tcPr>
            <w:tcW w:w="100" w:type="dxa"/>
            <w:vAlign w:val="bottom"/>
            <w:tcBorders>
              <w:bottom w:val="single" w:sz="8" w:color="CCEEFF"/>
            </w:tcBorders>
          </w:tcPr>
          <w:p>
            <w:pPr>
              <w:spacing w:after="0"/>
              <w:rPr>
                <w:sz w:val="15"/>
                <w:szCs w:val="15"/>
                <w:color w:val="auto"/>
              </w:rPr>
            </w:pPr>
          </w:p>
        </w:tc>
      </w:tr>
      <w:tr>
        <w:trPr>
          <w:trHeight w:val="176"/>
        </w:trPr>
        <w:tc>
          <w:tcPr>
            <w:tcW w:w="6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69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Class A common stock, $0.0001 par value, 500,000,000 shares authorized; 9,815,355 shares issued and</w:t>
            </w:r>
          </w:p>
        </w:tc>
        <w:tc>
          <w:tcPr>
            <w:tcW w:w="2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8,465,080 shares outstanding as of March 31, 2025, and 9,626,070 shares issued and 8,275,795 shares</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2024</w:t>
            </w:r>
          </w:p>
        </w:tc>
        <w:tc>
          <w:tcPr>
            <w:tcW w:w="2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981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962</w:t>
            </w:r>
          </w:p>
        </w:tc>
      </w:tr>
      <w:tr>
        <w:trPr>
          <w:trHeight w:val="170"/>
        </w:trPr>
        <w:tc>
          <w:tcPr>
            <w:tcW w:w="698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Class B common stock, $0.0001 par value, 100,000,000 shares authorized; 28,748,580 shares issued and</w:t>
            </w: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9"/>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outstanding as of March 31, 2025 and December 31, 2024</w:t>
            </w:r>
          </w:p>
        </w:tc>
        <w:tc>
          <w:tcPr>
            <w:tcW w:w="280" w:type="dxa"/>
            <w:vAlign w:val="bottom"/>
          </w:tcPr>
          <w:p>
            <w:pPr>
              <w:spacing w:after="0"/>
              <w:rPr>
                <w:sz w:val="17"/>
                <w:szCs w:val="17"/>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2,875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2,875</w:t>
            </w:r>
          </w:p>
        </w:tc>
        <w:tc>
          <w:tcPr>
            <w:tcW w:w="100" w:type="dxa"/>
            <w:vAlign w:val="bottom"/>
          </w:tcPr>
          <w:p>
            <w:pPr>
              <w:spacing w:after="0"/>
              <w:rPr>
                <w:sz w:val="17"/>
                <w:szCs w:val="17"/>
                <w:color w:val="auto"/>
              </w:rPr>
            </w:pPr>
          </w:p>
        </w:tc>
      </w:tr>
      <w:tr>
        <w:trPr>
          <w:trHeight w:val="185"/>
        </w:trPr>
        <w:tc>
          <w:tcPr>
            <w:tcW w:w="6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8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27,063,795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25,738,082</w:t>
            </w: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(224,202)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(279,457)</w:t>
            </w: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280" w:type="dxa"/>
            <w:vAlign w:val="bottom"/>
          </w:tcPr>
          <w:p>
            <w:pPr>
              <w:spacing w:after="0"/>
              <w:rPr>
                <w:sz w:val="16"/>
                <w:szCs w:val="16"/>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(14,063,392)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(12,117,385)</w:t>
            </w: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 stock at cost (1,350,275 shares as of March 31, 2025 and December 31, 2024)</w:t>
            </w:r>
          </w:p>
        </w:tc>
        <w:tc>
          <w:tcPr>
            <w:tcW w:w="2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(3,671,806)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(3,671,806)</w:t>
            </w:r>
          </w:p>
        </w:tc>
      </w:tr>
      <w:tr>
        <w:trPr>
          <w:trHeight w:val="17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Total Snail, Inc. equity</w:t>
            </w:r>
          </w:p>
        </w:tc>
        <w:tc>
          <w:tcPr>
            <w:tcW w:w="2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9,108,251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9,673,271</w:t>
            </w:r>
          </w:p>
        </w:tc>
        <w:tc>
          <w:tcPr>
            <w:tcW w:w="100" w:type="dxa"/>
            <w:vAlign w:val="bottom"/>
          </w:tcPr>
          <w:p>
            <w:pPr>
              <w:spacing w:after="0"/>
              <w:rPr>
                <w:sz w:val="15"/>
                <w:szCs w:val="15"/>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2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(5,505,065)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(5,504,109)</w:t>
            </w:r>
          </w:p>
        </w:tc>
      </w:tr>
      <w:tr>
        <w:trPr>
          <w:trHeight w:val="17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3,603,186</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4,169,162</w:t>
            </w:r>
          </w:p>
        </w:tc>
        <w:tc>
          <w:tcPr>
            <w:tcW w:w="100" w:type="dxa"/>
            <w:vAlign w:val="bottom"/>
            <w:tcBorders>
              <w:bottom w:val="single" w:sz="8" w:color="CCEEFF"/>
            </w:tcBorders>
          </w:tcPr>
          <w:p>
            <w:pPr>
              <w:spacing w:after="0"/>
              <w:rPr>
                <w:sz w:val="15"/>
                <w:szCs w:val="15"/>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 noncontrolling interests and stockholders’ equity</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64,497,227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62,193,364</w:t>
            </w:r>
          </w:p>
        </w:tc>
        <w:tc>
          <w:tcPr>
            <w:tcW w:w="100" w:type="dxa"/>
            <w:vAlign w:val="bottom"/>
            <w:shd w:val="clear" w:color="auto" w:fill="CCEEFF"/>
          </w:tcPr>
          <w:p>
            <w:pPr>
              <w:spacing w:after="0"/>
              <w:rPr>
                <w:sz w:val="15"/>
                <w:szCs w:val="15"/>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and Comprehensive Loss for the Three Months Ended March 31, 2025 and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3420" w:type="dxa"/>
            <w:vAlign w:val="bottom"/>
            <w:tcBorders>
              <w:bottom w:val="single" w:sz="8" w:color="auto"/>
            </w:tcBorders>
            <w:gridSpan w:val="5"/>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9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20,110,872</w:t>
            </w:r>
          </w:p>
        </w:tc>
        <w:tc>
          <w:tcPr>
            <w:tcW w:w="1300" w:type="dxa"/>
            <w:vAlign w:val="bottom"/>
            <w:gridSpan w:val="2"/>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14,115,729</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180" w:type="dxa"/>
            <w:vAlign w:val="bottom"/>
          </w:tcPr>
          <w:p>
            <w:pPr>
              <w:spacing w:after="0"/>
              <w:rPr>
                <w:sz w:val="17"/>
                <w:szCs w:val="17"/>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14,263,345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12,041,698</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180" w:type="dxa"/>
            <w:vAlign w:val="bottom"/>
          </w:tcPr>
          <w:p>
            <w:pPr>
              <w:spacing w:after="0"/>
              <w:rPr>
                <w:sz w:val="17"/>
                <w:szCs w:val="17"/>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5,847,527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2,074,031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4,964,351</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2,282,040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3,609,745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1,776,522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1,306,365</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w:t>
            </w:r>
          </w:p>
        </w:tc>
        <w:tc>
          <w:tcPr>
            <w:tcW w:w="1180" w:type="dxa"/>
            <w:vAlign w:val="bottom"/>
          </w:tcPr>
          <w:p>
            <w:pPr>
              <w:spacing w:after="0"/>
              <w:rPr>
                <w:sz w:val="17"/>
                <w:szCs w:val="17"/>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67,904</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82,338</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9,948,365</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4,281,930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(4,100,838)</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(2,207,899)</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29,906</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99,762</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income - related parties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493</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499</w:t>
            </w: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1180" w:type="dxa"/>
            <w:vAlign w:val="bottom"/>
          </w:tcPr>
          <w:p>
            <w:pPr>
              <w:spacing w:after="0"/>
              <w:rPr>
                <w:sz w:val="16"/>
                <w:szCs w:val="16"/>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(80,828)</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(395,964)</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income</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769,762</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227,066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transaction income (loss)</w:t>
            </w:r>
          </w:p>
        </w:tc>
        <w:tc>
          <w:tcPr>
            <w:tcW w:w="1180" w:type="dxa"/>
            <w:vAlign w:val="bottom"/>
          </w:tcPr>
          <w:p>
            <w:pPr>
              <w:spacing w:after="0"/>
              <w:rPr>
                <w:sz w:val="17"/>
                <w:szCs w:val="17"/>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(36,288)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18,128</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683,045</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(50,509</w:t>
            </w:r>
          </w:p>
        </w:tc>
        <w:tc>
          <w:tcPr>
            <w:tcW w:w="10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benefit from income taxes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(3,417,793)</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(2,258,408)</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Benefit from income taxes</w:t>
            </w: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(1,470,830)</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(477,950)</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(1,946,963)</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(1,780,458)</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non-controlling interests</w:t>
            </w: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(956)</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(1,129)</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Snail, Inc.</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(1,946,007)</w:t>
            </w:r>
          </w:p>
        </w:tc>
        <w:tc>
          <w:tcPr>
            <w:tcW w:w="1300" w:type="dxa"/>
            <w:vAlign w:val="bottom"/>
            <w:gridSpan w:val="2"/>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(1,779,329)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Comprehensive loss statement:</w:t>
            </w: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(1,946,963)</w:t>
            </w:r>
          </w:p>
        </w:tc>
        <w:tc>
          <w:tcPr>
            <w:tcW w:w="1300" w:type="dxa"/>
            <w:vAlign w:val="bottom"/>
            <w:gridSpan w:val="2"/>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(1,780,458)</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 (loss) related to foreign currency translation adjustments, net of tax</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33,232</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(19,297)</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(loss) related to credit adjustments, net of tax</w:t>
            </w:r>
          </w:p>
        </w:tc>
        <w:tc>
          <w:tcPr>
            <w:tcW w:w="1180" w:type="dxa"/>
            <w:vAlign w:val="bottom"/>
          </w:tcPr>
          <w:p>
            <w:pPr>
              <w:spacing w:after="0"/>
              <w:rPr>
                <w:sz w:val="17"/>
                <w:szCs w:val="17"/>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22,023</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Total comprehensive loss</w:t>
            </w:r>
          </w:p>
        </w:tc>
        <w:tc>
          <w:tcPr>
            <w:tcW w:w="1180" w:type="dxa"/>
            <w:vAlign w:val="bottom"/>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(1,891,708)</w:t>
            </w:r>
          </w:p>
        </w:tc>
        <w:tc>
          <w:tcPr>
            <w:tcW w:w="1300" w:type="dxa"/>
            <w:vAlign w:val="bottom"/>
            <w:gridSpan w:val="2"/>
          </w:tcPr>
          <w:p>
            <w:pPr>
              <w:jc w:val="right"/>
              <w:ind w:right="10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(1,799,755)</w:t>
            </w:r>
          </w:p>
        </w:tc>
        <w:tc>
          <w:tcPr>
            <w:tcW w:w="0" w:type="dxa"/>
            <w:vAlign w:val="bottom"/>
          </w:tcPr>
          <w:p>
            <w:pPr>
              <w:spacing w:after="0"/>
              <w:rPr>
                <w:sz w:val="1"/>
                <w:szCs w:val="1"/>
                <w:color w:val="auto"/>
              </w:rPr>
            </w:pPr>
          </w:p>
        </w:tc>
      </w:tr>
      <w:tr>
        <w:trPr>
          <w:trHeight w:val="159"/>
        </w:trPr>
        <w:tc>
          <w:tcPr>
            <w:tcW w:w="69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loss attributable to Class A common stockholders:</w:t>
            </w: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b w:val="1"/>
                <w:bCs w:val="1"/>
                <w:color w:val="auto"/>
              </w:rPr>
              <w:t>(441,731)</w:t>
            </w:r>
          </w:p>
        </w:tc>
        <w:tc>
          <w:tcPr>
            <w:tcW w:w="1300" w:type="dxa"/>
            <w:vAlign w:val="bottom"/>
            <w:gridSpan w:val="2"/>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b w:val="1"/>
                <w:bCs w:val="1"/>
                <w:color w:val="auto"/>
              </w:rPr>
              <w:t>(385,722)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Diluted</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10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99"/>
        </w:trPr>
        <w:tc>
          <w:tcPr>
            <w:tcW w:w="698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ind w:right="102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(521,393</w:t>
            </w:r>
          </w:p>
        </w:tc>
        <w:tc>
          <w:tcPr>
            <w:tcW w:w="1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auto"/>
            </w:tcBorders>
          </w:tcPr>
          <w:p>
            <w:pPr>
              <w:jc w:val="right"/>
              <w:ind w:right="100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(385,722</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9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5"/>
          <w:szCs w:val="15"/>
          <w:b w:val="1"/>
          <w:bCs w:val="1"/>
          <w:color w:val="auto"/>
        </w:rPr>
        <w:t>Net loss attributable to Class B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2005" cy="117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p>
      <w:pPr>
        <w:spacing w:after="0" w:line="182"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5"/>
          <w:szCs w:val="15"/>
          <w:color w:val="auto"/>
        </w:rPr>
        <w:t>Basic</w:t>
      </w:r>
      <w:r>
        <w:rPr>
          <w:sz w:val="20"/>
          <w:szCs w:val="20"/>
          <w:color w:val="auto"/>
        </w:rPr>
        <w:tab/>
      </w:r>
      <w:r>
        <w:rPr>
          <w:rFonts w:ascii="Times New Roman" w:cs="Times New Roman" w:eastAsia="Times New Roman" w:hAnsi="Times New Roman"/>
          <w:sz w:val="15"/>
          <w:szCs w:val="15"/>
          <w:b w:val="1"/>
          <w:bCs w:val="1"/>
          <w:color w:val="auto"/>
        </w:rPr>
        <w:t>$</w:t>
      </w:r>
    </w:p>
    <w:p>
      <w:pPr>
        <w:spacing w:after="0" w:line="50"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5"/>
          <w:szCs w:val="15"/>
          <w:color w:val="auto"/>
        </w:rPr>
        <w:t>Diluted</w:t>
      </w:r>
      <w:r>
        <w:rPr>
          <w:sz w:val="20"/>
          <w:szCs w:val="20"/>
          <w:color w:val="auto"/>
        </w:rPr>
        <w:tab/>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52005" cy="139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005" cy="13906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Loss per share attributable to Class A and B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52005" cy="117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1"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5"/>
          <w:szCs w:val="15"/>
          <w:color w:val="auto"/>
        </w:rPr>
        <w:t>Basic</w:t>
      </w:r>
      <w:r>
        <w:rPr>
          <w:sz w:val="20"/>
          <w:szCs w:val="20"/>
          <w:color w:val="auto"/>
        </w:rPr>
        <w:tab/>
      </w:r>
      <w:r>
        <w:rPr>
          <w:rFonts w:ascii="Times New Roman" w:cs="Times New Roman" w:eastAsia="Times New Roman" w:hAnsi="Times New Roman"/>
          <w:sz w:val="15"/>
          <w:szCs w:val="15"/>
          <w:b w:val="1"/>
          <w:bCs w:val="1"/>
          <w:color w:val="auto"/>
        </w:rPr>
        <w:t>$</w:t>
      </w:r>
    </w:p>
    <w:p>
      <w:pPr>
        <w:spacing w:after="0" w:line="35"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5"/>
          <w:szCs w:val="15"/>
          <w:color w:val="auto"/>
        </w:rPr>
        <w:t>Diluted</w:t>
      </w:r>
      <w:r>
        <w:rPr>
          <w:sz w:val="20"/>
          <w:szCs w:val="20"/>
          <w:color w:val="auto"/>
        </w:rPr>
        <w:tab/>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52005" cy="139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13906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Weighted-average shares used to compute loss per share attributable to Class A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52005" cy="117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005" cy="139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13906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Weighted-average shares used to compute loss per share attributable to Class B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52005" cy="117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99"/>
              </w:rPr>
              <w:t>(1,504,276)</w:t>
            </w:r>
          </w:p>
        </w:tc>
        <w:tc>
          <w:tcPr>
            <w:tcW w:w="660" w:type="dxa"/>
            <w:vAlign w:val="bottom"/>
            <w:gridSpan w:val="2"/>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(1,393,607)</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99"/>
              </w:rPr>
              <w:t>(1,775,558)</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line="20" w:lineRule="exact"/>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(1,393,607</w:t>
            </w:r>
          </w:p>
        </w:tc>
        <w:tc>
          <w:tcPr>
            <w:tcW w:w="20" w:type="dxa"/>
            <w:vAlign w:val="bottom"/>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(0.05)</w:t>
            </w:r>
          </w:p>
        </w:tc>
        <w:tc>
          <w:tcPr>
            <w:tcW w:w="660" w:type="dxa"/>
            <w:vAlign w:val="bottom"/>
            <w:gridSpan w:val="2"/>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(0.05)</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(0.06)</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tcBorders>
            <w:gridSpan w:val="2"/>
          </w:tcPr>
          <w:p>
            <w:pPr>
              <w:jc w:val="right"/>
              <w:ind w:right="20"/>
              <w:spacing w:after="0" w:line="159" w:lineRule="exact"/>
              <w:rPr>
                <w:sz w:val="20"/>
                <w:szCs w:val="20"/>
                <w:color w:val="auto"/>
              </w:rPr>
            </w:pPr>
            <w:r>
              <w:rPr>
                <w:rFonts w:ascii="Times New Roman" w:cs="Times New Roman" w:eastAsia="Times New Roman" w:hAnsi="Times New Roman"/>
                <w:sz w:val="15"/>
                <w:szCs w:val="15"/>
                <w:b w:val="1"/>
                <w:bCs w:val="1"/>
                <w:color w:val="auto"/>
              </w:rPr>
              <w:t>(0.05</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100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8,442,025</w:t>
            </w: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7,957,031</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9,241,822</w:t>
            </w: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7,957,031</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-6985</wp:posOffset>
            </wp:positionV>
            <wp:extent cx="12236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3645" cy="762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-160655</wp:posOffset>
            </wp:positionV>
            <wp:extent cx="122364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3645" cy="762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-534035</wp:posOffset>
            </wp:positionV>
            <wp:extent cx="12236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3645" cy="762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-688340</wp:posOffset>
            </wp:positionV>
            <wp:extent cx="122364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3645" cy="762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-1061720</wp:posOffset>
            </wp:positionV>
            <wp:extent cx="12236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3645" cy="762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-1216025</wp:posOffset>
            </wp:positionV>
            <wp:extent cx="12236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spacing w:after="0" w:line="538" w:lineRule="exact"/>
        <w:rPr>
          <w:sz w:val="20"/>
          <w:szCs w:val="20"/>
          <w:color w:val="auto"/>
        </w:rPr>
      </w:pPr>
    </w:p>
    <w:p>
      <w:pPr>
        <w:sectPr>
          <w:pgSz w:w="11900" w:h="16838" w:orient="portrait"/>
          <w:cols w:equalWidth="0" w:num="2">
            <w:col w:w="7520" w:space="720"/>
            <w:col w:w="3020"/>
          </w:cols>
          <w:pgMar w:left="320" w:top="583" w:right="31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w:t>
            </w:r>
          </w:p>
        </w:tc>
        <w:tc>
          <w:tcPr>
            <w:tcW w:w="2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Diluted</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vMerge w:val="continue"/>
          </w:tcPr>
          <w:p>
            <w:pPr>
              <w:spacing w:after="0"/>
              <w:rPr>
                <w:sz w:val="13"/>
                <w:szCs w:val="13"/>
                <w:color w:val="auto"/>
              </w:rPr>
            </w:pPr>
          </w:p>
        </w:tc>
        <w:tc>
          <w:tcPr>
            <w:tcW w:w="19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320" w:type="dxa"/>
            <w:vAlign w:val="bottom"/>
            <w:vMerge w:val="continue"/>
          </w:tcPr>
          <w:p>
            <w:pPr>
              <w:spacing w:after="0"/>
              <w:rPr>
                <w:sz w:val="13"/>
                <w:szCs w:val="13"/>
                <w:color w:val="auto"/>
              </w:rPr>
            </w:pPr>
          </w:p>
        </w:tc>
        <w:tc>
          <w:tcPr>
            <w:tcW w:w="19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type w:val="continuous"/>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80" w:type="dxa"/>
            <w:vAlign w:val="bottom"/>
            <w:gridSpan w:val="30"/>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Equity for the Three Months Ended March 31, 2025 and 2024</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32"/>
        </w:trPr>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900" w:type="dxa"/>
            <w:vAlign w:val="bottom"/>
          </w:tcPr>
          <w:p>
            <w:pPr>
              <w:spacing w:after="0"/>
              <w:rPr>
                <w:sz w:val="16"/>
                <w:szCs w:val="16"/>
                <w:color w:val="auto"/>
              </w:rPr>
            </w:pPr>
          </w:p>
        </w:tc>
        <w:tc>
          <w:tcPr>
            <w:tcW w:w="980" w:type="dxa"/>
            <w:vAlign w:val="bottom"/>
            <w:gridSpan w:val="4"/>
          </w:tcPr>
          <w:p>
            <w:pPr>
              <w:jc w:val="center"/>
              <w:ind w:left="243"/>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left="343"/>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Non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5"/>
        </w:trPr>
        <w:tc>
          <w:tcPr>
            <w:tcW w:w="900" w:type="dxa"/>
            <w:vAlign w:val="bottom"/>
          </w:tcPr>
          <w:p>
            <w:pPr>
              <w:spacing w:after="0"/>
              <w:rPr>
                <w:sz w:val="18"/>
                <w:szCs w:val="18"/>
                <w:color w:val="auto"/>
              </w:rPr>
            </w:pPr>
          </w:p>
        </w:tc>
        <w:tc>
          <w:tcPr>
            <w:tcW w:w="1380" w:type="dxa"/>
            <w:vAlign w:val="bottom"/>
            <w:gridSpan w:val="6"/>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54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40" w:type="dxa"/>
            <w:vAlign w:val="bottom"/>
            <w:gridSpan w:val="8"/>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Snail, Inc.</w:t>
            </w:r>
          </w:p>
        </w:tc>
        <w:tc>
          <w:tcPr>
            <w:tcW w:w="20" w:type="dxa"/>
            <w:vAlign w:val="bottom"/>
          </w:tcPr>
          <w:p>
            <w:pPr>
              <w:spacing w:after="0"/>
              <w:rPr>
                <w:sz w:val="18"/>
                <w:szCs w:val="18"/>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188"/>
        </w:trPr>
        <w:tc>
          <w:tcPr>
            <w:tcW w:w="900" w:type="dxa"/>
            <w:vAlign w:val="bottom"/>
          </w:tcPr>
          <w:p>
            <w:pPr>
              <w:spacing w:after="0"/>
              <w:rPr>
                <w:sz w:val="16"/>
                <w:szCs w:val="16"/>
                <w:color w:val="auto"/>
              </w:rPr>
            </w:pPr>
          </w:p>
        </w:tc>
        <w:tc>
          <w:tcPr>
            <w:tcW w:w="7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6"/>
                <w:szCs w:val="16"/>
                <w:color w:val="auto"/>
              </w:rPr>
            </w:pPr>
          </w:p>
        </w:tc>
        <w:tc>
          <w:tcPr>
            <w:tcW w:w="84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6"/>
                <w:szCs w:val="16"/>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78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0" w:type="dxa"/>
            <w:vAlign w:val="bottom"/>
          </w:tcPr>
          <w:p>
            <w:pPr>
              <w:spacing w:after="0"/>
              <w:rPr>
                <w:sz w:val="16"/>
                <w:szCs w:val="16"/>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176"/>
        </w:trPr>
        <w:tc>
          <w:tcPr>
            <w:tcW w:w="9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6"/>
        </w:trPr>
        <w:tc>
          <w:tcPr>
            <w:tcW w:w="9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9,275,420</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$26,171,575</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(254,383)</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(13,949,325)</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(1,350,275)</w:t>
            </w:r>
          </w:p>
        </w:tc>
        <w:tc>
          <w:tcPr>
            <w:tcW w:w="8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$(3,671,806)</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$ 8,299,863</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$(5,499,244)</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$ 2,800,619</w:t>
            </w:r>
          </w:p>
        </w:tc>
      </w:tr>
      <w:tr>
        <w:trPr>
          <w:trHeight w:val="185"/>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Conversion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 notes</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payable</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71,460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59,993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60,000</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60,000</w:t>
            </w:r>
          </w:p>
        </w:tc>
      </w:tr>
      <w:tr>
        <w:trPr>
          <w:trHeight w:val="185"/>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Stock based</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to</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(926,875)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(926,875)</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(926,875)</w:t>
            </w:r>
          </w:p>
        </w:tc>
      </w:tr>
      <w:tr>
        <w:trPr>
          <w:trHeight w:val="185"/>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Common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issued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service</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10,869</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(19,297)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(19,297)</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(19,297)</w:t>
            </w:r>
          </w:p>
        </w:tc>
      </w:tr>
      <w:tr>
        <w:trPr>
          <w:trHeight w:val="185"/>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(1,779,329)</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(1,779,329)</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(1,129)</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(1,780,458)</w:t>
            </w:r>
          </w:p>
        </w:tc>
      </w:tr>
      <w:tr>
        <w:trPr>
          <w:trHeight w:val="176"/>
        </w:trPr>
        <w:tc>
          <w:tcPr>
            <w:tcW w:w="9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6"/>
        </w:trPr>
        <w:tc>
          <w:tcPr>
            <w:tcW w:w="9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9,357,749</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935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25,304,692</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(273,680) $</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(15,728,654)</w:t>
            </w:r>
          </w:p>
        </w:tc>
        <w:tc>
          <w:tcPr>
            <w:tcW w:w="20" w:type="dxa"/>
            <w:vAlign w:val="bottom"/>
            <w:shd w:val="clear" w:color="auto" w:fill="CCEEFF"/>
          </w:tcPr>
          <w:p>
            <w:pPr>
              <w:spacing w:after="0"/>
              <w:rPr>
                <w:sz w:val="19"/>
                <w:szCs w:val="19"/>
                <w:color w:val="auto"/>
              </w:rPr>
            </w:pPr>
          </w:p>
        </w:tc>
        <w:tc>
          <w:tcPr>
            <w:tcW w:w="2500" w:type="dxa"/>
            <w:vAlign w:val="bottom"/>
            <w:gridSpan w:val="1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xml:space="preserve">(1,350,275)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(3,671,806) $ 5,634,362</w:t>
            </w:r>
          </w:p>
        </w:tc>
        <w:tc>
          <w:tcPr>
            <w:tcW w:w="168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(5,500,373) $  133,989</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325"/>
        </w:trPr>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900" w:type="dxa"/>
            <w:vAlign w:val="bottom"/>
          </w:tcPr>
          <w:p>
            <w:pPr>
              <w:spacing w:after="0"/>
              <w:rPr>
                <w:sz w:val="16"/>
                <w:szCs w:val="16"/>
                <w:color w:val="auto"/>
              </w:rPr>
            </w:pPr>
          </w:p>
        </w:tc>
        <w:tc>
          <w:tcPr>
            <w:tcW w:w="980" w:type="dxa"/>
            <w:vAlign w:val="bottom"/>
            <w:gridSpan w:val="4"/>
          </w:tcPr>
          <w:p>
            <w:pPr>
              <w:jc w:val="center"/>
              <w:ind w:left="243"/>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left="343"/>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Non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5"/>
        </w:trPr>
        <w:tc>
          <w:tcPr>
            <w:tcW w:w="900" w:type="dxa"/>
            <w:vAlign w:val="bottom"/>
          </w:tcPr>
          <w:p>
            <w:pPr>
              <w:spacing w:after="0"/>
              <w:rPr>
                <w:sz w:val="18"/>
                <w:szCs w:val="18"/>
                <w:color w:val="auto"/>
              </w:rPr>
            </w:pPr>
          </w:p>
        </w:tc>
        <w:tc>
          <w:tcPr>
            <w:tcW w:w="1380" w:type="dxa"/>
            <w:vAlign w:val="bottom"/>
            <w:gridSpan w:val="6"/>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54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40" w:type="dxa"/>
            <w:vAlign w:val="bottom"/>
            <w:gridSpan w:val="8"/>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Snail, Inc.</w:t>
            </w:r>
          </w:p>
        </w:tc>
        <w:tc>
          <w:tcPr>
            <w:tcW w:w="20" w:type="dxa"/>
            <w:vAlign w:val="bottom"/>
          </w:tcPr>
          <w:p>
            <w:pPr>
              <w:spacing w:after="0"/>
              <w:rPr>
                <w:sz w:val="18"/>
                <w:szCs w:val="18"/>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188"/>
        </w:trPr>
        <w:tc>
          <w:tcPr>
            <w:tcW w:w="900" w:type="dxa"/>
            <w:vAlign w:val="bottom"/>
          </w:tcPr>
          <w:p>
            <w:pPr>
              <w:spacing w:after="0"/>
              <w:rPr>
                <w:sz w:val="16"/>
                <w:szCs w:val="16"/>
                <w:color w:val="auto"/>
              </w:rPr>
            </w:pPr>
          </w:p>
        </w:tc>
        <w:tc>
          <w:tcPr>
            <w:tcW w:w="7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6"/>
                <w:szCs w:val="16"/>
                <w:color w:val="auto"/>
              </w:rPr>
            </w:pPr>
          </w:p>
        </w:tc>
        <w:tc>
          <w:tcPr>
            <w:tcW w:w="84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6"/>
                <w:szCs w:val="16"/>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0" w:type="dxa"/>
            <w:vAlign w:val="bottom"/>
          </w:tcPr>
          <w:p>
            <w:pPr>
              <w:spacing w:after="0"/>
              <w:rPr>
                <w:sz w:val="16"/>
                <w:szCs w:val="16"/>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interests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176"/>
        </w:trPr>
        <w:tc>
          <w:tcPr>
            <w:tcW w:w="9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6"/>
        </w:trPr>
        <w:tc>
          <w:tcPr>
            <w:tcW w:w="9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9,626,070</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962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$25,738,082</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(279,457)</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(12,117,385)</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(1,350,275)</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$(3,671,806)</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$ 9,673,271</w:t>
            </w:r>
          </w:p>
        </w:tc>
        <w:tc>
          <w:tcPr>
            <w:tcW w:w="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$(5,504,109)</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$ 4,169,162</w:t>
            </w:r>
          </w:p>
        </w:tc>
        <w:tc>
          <w:tcPr>
            <w:tcW w:w="40" w:type="dxa"/>
            <w:vAlign w:val="bottom"/>
            <w:shd w:val="clear" w:color="auto" w:fill="CCEEFF"/>
          </w:tcPr>
          <w:p>
            <w:pPr>
              <w:spacing w:after="0"/>
              <w:rPr>
                <w:sz w:val="17"/>
                <w:szCs w:val="17"/>
                <w:color w:val="auto"/>
              </w:rPr>
            </w:pPr>
          </w:p>
        </w:tc>
      </w:tr>
      <w:tr>
        <w:trPr>
          <w:trHeight w:val="185"/>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Exercise of</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189,285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482,094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482,113</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482,113</w:t>
            </w:r>
          </w:p>
        </w:tc>
        <w:tc>
          <w:tcPr>
            <w:tcW w:w="40" w:type="dxa"/>
            <w:vAlign w:val="bottom"/>
            <w:shd w:val="clear" w:color="auto" w:fill="CCEEFF"/>
          </w:tcPr>
          <w:p>
            <w:pPr>
              <w:spacing w:after="0"/>
              <w:rPr>
                <w:sz w:val="17"/>
                <w:szCs w:val="17"/>
                <w:color w:val="auto"/>
              </w:rPr>
            </w:pPr>
          </w:p>
        </w:tc>
      </w:tr>
      <w:tr>
        <w:trPr>
          <w:trHeight w:val="185"/>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Stock based</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to</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843,619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843,619</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843,619</w:t>
            </w:r>
          </w:p>
        </w:tc>
        <w:tc>
          <w:tcPr>
            <w:tcW w:w="40" w:type="dxa"/>
            <w:vAlign w:val="bottom"/>
            <w:shd w:val="clear" w:color="auto" w:fill="CCEEFF"/>
          </w:tcPr>
          <w:p>
            <w:pPr>
              <w:spacing w:after="0"/>
              <w:rPr>
                <w:sz w:val="17"/>
                <w:szCs w:val="17"/>
                <w:color w:val="auto"/>
              </w:rPr>
            </w:pPr>
          </w:p>
        </w:tc>
      </w:tr>
      <w:tr>
        <w:trPr>
          <w:trHeight w:val="185"/>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33,232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33,232</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33,232</w:t>
            </w:r>
          </w:p>
        </w:tc>
        <w:tc>
          <w:tcPr>
            <w:tcW w:w="40" w:type="dxa"/>
            <w:vAlign w:val="bottom"/>
            <w:shd w:val="clear" w:color="auto" w:fill="CCEEFF"/>
          </w:tcPr>
          <w:p>
            <w:pPr>
              <w:spacing w:after="0"/>
              <w:rPr>
                <w:sz w:val="17"/>
                <w:szCs w:val="17"/>
                <w:color w:val="auto"/>
              </w:rPr>
            </w:pPr>
          </w:p>
        </w:tc>
      </w:tr>
      <w:tr>
        <w:trPr>
          <w:trHeight w:val="185"/>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Fair value</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of</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notes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22,023</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22,023</w:t>
            </w:r>
          </w:p>
        </w:tc>
        <w:tc>
          <w:tcPr>
            <w:tcW w:w="40" w:type="dxa"/>
            <w:vAlign w:val="bottom"/>
            <w:shd w:val="clear" w:color="auto" w:fill="CCEEFF"/>
          </w:tcPr>
          <w:p>
            <w:pPr>
              <w:spacing w:after="0"/>
              <w:rPr>
                <w:sz w:val="17"/>
                <w:szCs w:val="17"/>
                <w:color w:val="auto"/>
              </w:rPr>
            </w:pPr>
          </w:p>
        </w:tc>
      </w:tr>
      <w:tr>
        <w:trPr>
          <w:trHeight w:val="185"/>
        </w:trPr>
        <w:tc>
          <w:tcPr>
            <w:tcW w:w="900" w:type="dxa"/>
            <w:vAlign w:val="bottom"/>
          </w:tcPr>
          <w:p>
            <w:pPr>
              <w:spacing w:after="0"/>
              <w:rPr>
                <w:sz w:val="16"/>
                <w:szCs w:val="16"/>
                <w:color w:val="auto"/>
              </w:rPr>
            </w:pPr>
          </w:p>
        </w:tc>
        <w:tc>
          <w:tcPr>
            <w:tcW w:w="7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8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r>
      <w:tr>
        <w:trPr>
          <w:trHeight w:val="19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(1,946,007)</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(1,946,007)</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(956)</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(1,946,963)</w:t>
            </w:r>
          </w:p>
        </w:tc>
      </w:tr>
      <w:tr>
        <w:trPr>
          <w:trHeight w:val="176"/>
        </w:trPr>
        <w:tc>
          <w:tcPr>
            <w:tcW w:w="9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6"/>
        </w:trPr>
        <w:tc>
          <w:tcPr>
            <w:tcW w:w="9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9,815,355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981</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27,063,795</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(224,202) $</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(14,063,392)</w:t>
            </w:r>
          </w:p>
        </w:tc>
        <w:tc>
          <w:tcPr>
            <w:tcW w:w="20" w:type="dxa"/>
            <w:vAlign w:val="bottom"/>
            <w:shd w:val="clear" w:color="auto" w:fill="CCEEFF"/>
          </w:tcPr>
          <w:p>
            <w:pPr>
              <w:spacing w:after="0"/>
              <w:rPr>
                <w:sz w:val="19"/>
                <w:szCs w:val="19"/>
                <w:color w:val="auto"/>
              </w:rPr>
            </w:pPr>
          </w:p>
        </w:tc>
        <w:tc>
          <w:tcPr>
            <w:tcW w:w="2420" w:type="dxa"/>
            <w:vAlign w:val="bottom"/>
            <w:gridSpan w:val="11"/>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(1,350,275)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(3,671,806) $ 9,108,251</w:t>
            </w:r>
          </w:p>
        </w:tc>
        <w:tc>
          <w:tcPr>
            <w:tcW w:w="80" w:type="dxa"/>
            <w:vAlign w:val="bottom"/>
            <w:shd w:val="clear" w:color="auto" w:fill="CCEEFF"/>
          </w:tcPr>
          <w:p>
            <w:pPr>
              <w:spacing w:after="0"/>
              <w:rPr>
                <w:sz w:val="19"/>
                <w:szCs w:val="19"/>
                <w:color w:val="auto"/>
              </w:rPr>
            </w:pPr>
          </w:p>
        </w:tc>
        <w:tc>
          <w:tcPr>
            <w:tcW w:w="164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(5,505,065) $ 3,603,186</w:t>
            </w:r>
          </w:p>
        </w:tc>
        <w:tc>
          <w:tcPr>
            <w:tcW w:w="40" w:type="dxa"/>
            <w:vAlign w:val="bottom"/>
            <w:shd w:val="clear" w:color="auto" w:fill="CCEEFF"/>
          </w:tcPr>
          <w:p>
            <w:pPr>
              <w:spacing w:after="0"/>
              <w:rPr>
                <w:sz w:val="19"/>
                <w:szCs w:val="19"/>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340"/>
          </w:cols>
          <w:pgMar w:left="320" w:top="583" w:right="2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for the Three Months Ended March 31, 2025 and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7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180" w:type="dxa"/>
            <w:vAlign w:val="bottom"/>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(1,946,963)</w:t>
            </w:r>
          </w:p>
        </w:tc>
        <w:tc>
          <w:tcPr>
            <w:tcW w:w="580" w:type="dxa"/>
            <w:vAlign w:val="bottom"/>
            <w:gridSpan w:val="2"/>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(1,780,458)</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 intangible assets, net</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35,516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 film assets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212,709</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 loan origination fees and debt discounts</w:t>
            </w:r>
          </w:p>
        </w:tc>
        <w:tc>
          <w:tcPr>
            <w:tcW w:w="1180" w:type="dxa"/>
            <w:vAlign w:val="bottom"/>
          </w:tcPr>
          <w:p>
            <w:pPr>
              <w:spacing w:after="0"/>
              <w:rPr>
                <w:sz w:val="16"/>
                <w:szCs w:val="16"/>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(1,889)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47,729</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Accretion – convertible notes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181,754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on change in fair value of convertible notes</w:t>
            </w:r>
          </w:p>
        </w:tc>
        <w:tc>
          <w:tcPr>
            <w:tcW w:w="1180" w:type="dxa"/>
            <w:vAlign w:val="bottom"/>
          </w:tcPr>
          <w:p>
            <w:pPr>
              <w:spacing w:after="0"/>
              <w:rPr>
                <w:sz w:val="16"/>
                <w:szCs w:val="16"/>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(117,105)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on change in fair value of warrant liabilities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(639,518)</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 property and equipment</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67,904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82,338</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 (income)</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843,619</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(926,875)</w:t>
            </w: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taxes, net</w:t>
            </w:r>
          </w:p>
        </w:tc>
        <w:tc>
          <w:tcPr>
            <w:tcW w:w="1180" w:type="dxa"/>
            <w:vAlign w:val="bottom"/>
          </w:tcPr>
          <w:p>
            <w:pPr>
              <w:spacing w:after="0"/>
              <w:rPr>
                <w:sz w:val="16"/>
                <w:szCs w:val="16"/>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(2,041,515)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(555,781)</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receivable</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696,553</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17,759,629</w:t>
            </w: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2,503,407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(1,085,213)</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 related party</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(544,532)</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(1,351,838)</w:t>
            </w: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377,962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(1,779,508)</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taxes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143,451</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70,407</w:t>
            </w: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noncurrent assets</w:t>
            </w:r>
          </w:p>
        </w:tc>
        <w:tc>
          <w:tcPr>
            <w:tcW w:w="1180" w:type="dxa"/>
            <w:vAlign w:val="bottom"/>
          </w:tcPr>
          <w:p>
            <w:pPr>
              <w:spacing w:after="0"/>
              <w:rPr>
                <w:sz w:val="16"/>
                <w:szCs w:val="16"/>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(656,562)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(198,705)</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(1,938,654)</w:t>
            </w: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 - related party</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623,430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(6,143,374)</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(650,236)</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(461,311)</w:t>
            </w: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Loan and interest receivable - related party</w:t>
            </w:r>
          </w:p>
        </w:tc>
        <w:tc>
          <w:tcPr>
            <w:tcW w:w="1180" w:type="dxa"/>
            <w:vAlign w:val="bottom"/>
          </w:tcPr>
          <w:p>
            <w:pPr>
              <w:spacing w:after="0"/>
              <w:rPr>
                <w:sz w:val="16"/>
                <w:szCs w:val="16"/>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(493)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(499)</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Lease liabilities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(80,510)</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(64,821)</w:t>
            </w:r>
          </w:p>
        </w:tc>
        <w:tc>
          <w:tcPr>
            <w:tcW w:w="0" w:type="dxa"/>
            <w:vAlign w:val="bottom"/>
          </w:tcPr>
          <w:p>
            <w:pPr>
              <w:spacing w:after="0"/>
              <w:rPr>
                <w:sz w:val="1"/>
                <w:szCs w:val="1"/>
                <w:color w:val="auto"/>
              </w:rPr>
            </w:pPr>
          </w:p>
        </w:tc>
      </w:tr>
      <w:tr>
        <w:trPr>
          <w:trHeight w:val="19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revenue</w:t>
            </w:r>
          </w:p>
        </w:tc>
        <w:tc>
          <w:tcPr>
            <w:tcW w:w="1180" w:type="dxa"/>
            <w:vAlign w:val="bottom"/>
          </w:tcPr>
          <w:p>
            <w:pPr>
              <w:spacing w:after="0"/>
              <w:rPr>
                <w:sz w:val="17"/>
                <w:szCs w:val="17"/>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2,138,026</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4,723,462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764,549</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6,777,187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Acquisition of software</w:t>
            </w:r>
          </w:p>
        </w:tc>
        <w:tc>
          <w:tcPr>
            <w:tcW w:w="1180" w:type="dxa"/>
            <w:vAlign w:val="bottom"/>
          </w:tcPr>
          <w:p>
            <w:pPr>
              <w:spacing w:after="0"/>
              <w:rPr>
                <w:sz w:val="16"/>
                <w:szCs w:val="16"/>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(290,000)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 of software licenses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(1,412,000)</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Investments in software</w:t>
            </w:r>
          </w:p>
        </w:tc>
        <w:tc>
          <w:tcPr>
            <w:tcW w:w="1180" w:type="dxa"/>
            <w:vAlign w:val="bottom"/>
          </w:tcPr>
          <w:p>
            <w:pPr>
              <w:spacing w:after="0"/>
              <w:rPr>
                <w:sz w:val="17"/>
                <w:szCs w:val="17"/>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(177,002)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(1,879,002</w:t>
            </w:r>
          </w:p>
        </w:tc>
        <w:tc>
          <w:tcPr>
            <w:tcW w:w="180" w:type="dxa"/>
            <w:vAlign w:val="bottom"/>
            <w:tcBorders>
              <w:top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Repayments on promissory note</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(21,546)</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(20,484)</w:t>
            </w: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Repayments on notes payable</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(2,333,333)</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Repayments on convertible notes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(269,550)</w:t>
            </w: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Repayments on revolving loan</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(3,000,000)</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proceeds from exercise of warrants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159,000</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issuance of convertible notes</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3,000,000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of capitalized offering costs</w:t>
            </w: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(262,914)</w:t>
            </w:r>
          </w:p>
        </w:tc>
        <w:tc>
          <w:tcPr>
            <w:tcW w:w="0" w:type="dxa"/>
            <w:vAlign w:val="bottom"/>
          </w:tcPr>
          <w:p>
            <w:pPr>
              <w:spacing w:after="0"/>
              <w:rPr>
                <w:sz w:val="1"/>
                <w:szCs w:val="1"/>
                <w:color w:val="auto"/>
              </w:rPr>
            </w:pPr>
          </w:p>
        </w:tc>
      </w:tr>
      <w:tr>
        <w:trPr>
          <w:trHeight w:val="17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3,137,454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(5,886,281</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Effect of foreign currency translation on cash and cash equivalents</w:t>
            </w:r>
          </w:p>
        </w:tc>
        <w:tc>
          <w:tcPr>
            <w:tcW w:w="1180" w:type="dxa"/>
            <w:vAlign w:val="bottom"/>
          </w:tcPr>
          <w:p>
            <w:pPr>
              <w:spacing w:after="0"/>
              <w:rPr>
                <w:sz w:val="17"/>
                <w:szCs w:val="17"/>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32,171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(19,186)</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in cash and cash equivalents, and restricted cash and cash equivalents</w:t>
            </w:r>
          </w:p>
        </w:tc>
        <w:tc>
          <w:tcPr>
            <w:tcW w:w="1180" w:type="dxa"/>
            <w:vAlign w:val="bottom"/>
          </w:tcPr>
          <w:p>
            <w:pPr>
              <w:spacing w:after="0"/>
              <w:rPr>
                <w:sz w:val="16"/>
                <w:szCs w:val="16"/>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2,055,172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871,720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and restricted cash and cash equivalents - beginning of the period</w:t>
            </w:r>
          </w:p>
        </w:tc>
        <w:tc>
          <w:tcPr>
            <w:tcW w:w="1180" w:type="dxa"/>
            <w:vAlign w:val="bottom"/>
          </w:tcPr>
          <w:p>
            <w:pPr>
              <w:spacing w:after="0"/>
              <w:rPr>
                <w:sz w:val="17"/>
                <w:szCs w:val="17"/>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8,238,944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16,314,319</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and restricted cash and cash equivalents – end of the period</w:t>
            </w:r>
          </w:p>
        </w:tc>
        <w:tc>
          <w:tcPr>
            <w:tcW w:w="1180" w:type="dxa"/>
            <w:vAlign w:val="bottom"/>
          </w:tcPr>
          <w:p>
            <w:pPr>
              <w:jc w:val="right"/>
              <w:ind w:right="10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10,294,116</w:t>
            </w:r>
          </w:p>
        </w:tc>
        <w:tc>
          <w:tcPr>
            <w:tcW w:w="580" w:type="dxa"/>
            <w:vAlign w:val="bottom"/>
            <w:gridSpan w:val="2"/>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b w:val="1"/>
                <w:bCs w:val="1"/>
                <w:color w:val="auto"/>
              </w:rPr>
              <w:t>17,186,039</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paid during the period for:</w:t>
            </w:r>
          </w:p>
        </w:tc>
        <w:tc>
          <w:tcPr>
            <w:tcW w:w="1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w:t>
            </w:r>
          </w:p>
        </w:tc>
        <w:tc>
          <w:tcPr>
            <w:tcW w:w="1180" w:type="dxa"/>
            <w:vAlign w:val="bottom"/>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97,260</w:t>
            </w:r>
          </w:p>
        </w:tc>
        <w:tc>
          <w:tcPr>
            <w:tcW w:w="580" w:type="dxa"/>
            <w:vAlign w:val="bottom"/>
            <w:gridSpan w:val="2"/>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171,101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6980" w:type="dxa"/>
            <w:vAlign w:val="bottom"/>
            <w:tcBorders>
              <w:top w:val="single" w:sz="8" w:color="CCEEFF"/>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Income taxes</w:t>
            </w:r>
          </w:p>
        </w:tc>
        <w:tc>
          <w:tcPr>
            <w:tcW w:w="1180" w:type="dxa"/>
            <w:vAlign w:val="bottom"/>
            <w:tcBorders>
              <w:top w:val="single" w:sz="8" w:color="auto"/>
              <w:bottom w:val="single" w:sz="8" w:color="auto"/>
            </w:tcBorders>
            <w:shd w:val="clear" w:color="auto" w:fill="CCEEFF"/>
          </w:tcPr>
          <w:p>
            <w:pPr>
              <w:jc w:val="right"/>
              <w:ind w:right="10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184,707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28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1,871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transactions during the period for:</w:t>
            </w: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Debt converted to equity</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(60,000)</w:t>
            </w:r>
          </w:p>
        </w:tc>
        <w:tc>
          <w:tcPr>
            <w:tcW w:w="0" w:type="dxa"/>
            <w:vAlign w:val="bottom"/>
          </w:tcPr>
          <w:p>
            <w:pPr>
              <w:spacing w:after="0"/>
              <w:rPr>
                <w:sz w:val="1"/>
                <w:szCs w:val="1"/>
                <w:color w:val="auto"/>
              </w:rPr>
            </w:pPr>
          </w:p>
        </w:tc>
      </w:tr>
      <w:tr>
        <w:trPr>
          <w:trHeight w:val="228"/>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Liabilities converted to equity upon exercise of warrants</w:t>
            </w:r>
          </w:p>
        </w:tc>
        <w:tc>
          <w:tcPr>
            <w:tcW w:w="118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323,113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980" w:type="dxa"/>
            <w:vAlign w:val="bottom"/>
            <w:tcBorders>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Acquisition of film licenses in accounts payable</w:t>
            </w:r>
          </w:p>
        </w:tc>
        <w:tc>
          <w:tcPr>
            <w:tcW w:w="1180" w:type="dxa"/>
            <w:vAlign w:val="bottom"/>
            <w:tcBorders>
              <w:bottom w:val="single" w:sz="8" w:color="auto"/>
            </w:tcBorders>
            <w:shd w:val="clear" w:color="auto" w:fill="CCEEFF"/>
          </w:tcPr>
          <w:p>
            <w:pPr>
              <w:jc w:val="right"/>
              <w:ind w:right="10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152,000</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8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Acquisition of software and software licenses in accounts payable and accrued expenses</w:t>
            </w: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8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ind w:right="10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51,741</w:t>
            </w:r>
          </w:p>
        </w:tc>
        <w:tc>
          <w:tcPr>
            <w:tcW w:w="1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auto"/>
            </w:tcBorders>
          </w:tcPr>
          <w:p>
            <w:pPr>
              <w:jc w:val="right"/>
              <w:ind w:right="28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980" w:type="dxa"/>
            <w:vAlign w:val="bottom"/>
            <w:tcBorders>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Change in fair value of notes recorded in accumulated other comprehensive income</w:t>
            </w:r>
          </w:p>
        </w:tc>
        <w:tc>
          <w:tcPr>
            <w:tcW w:w="1180" w:type="dxa"/>
            <w:vAlign w:val="bottom"/>
            <w:tcBorders>
              <w:bottom w:val="single" w:sz="8" w:color="auto"/>
            </w:tcBorders>
            <w:shd w:val="clear" w:color="auto" w:fill="CCEEFF"/>
          </w:tcPr>
          <w:p>
            <w:pPr>
              <w:jc w:val="right"/>
              <w:ind w:right="10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22,023</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8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 PRESENTATION AND NATURE OF OPERATIONS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Consolidation</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accompanying condensed consolidated financial statements have been prepared in accordance with the rules and regulations of the SEC and generally accepted accounting principles as promulgated in the United States of America (“U.S. GAAP”) for interim reporting. Accordingly, certain notes or other information that are normally required by U.S. GAAP have been condensed or omitted if they substantially duplicate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2024 included in the Company’s Annual Report on Form 10-K for the fiscal year ended December 31, 2024, filed with the SEC on March 26, 2025. The condensed consolidated results of operations for any interim period are not necessarily indicative of the results to be expected for the full year or for any other future annual or interim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opinion of management, all adjustments considered necessary for the fair presentation of the Company’s financial position and its results of operations in accordance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GAAP (consisting of normal recurring adjustments) have been included in the accompanying unaudited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condensed consolidated financial statements include the accounts of Snail, Inc. and the following subsidiaries: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62"/>
        </w:trPr>
        <w:tc>
          <w:tcPr>
            <w:tcW w:w="11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Equity %</w:t>
            </w:r>
          </w:p>
        </w:tc>
      </w:tr>
      <w:tr>
        <w:trPr>
          <w:trHeight w:val="203"/>
        </w:trPr>
        <w:tc>
          <w:tcPr>
            <w:tcW w:w="1120" w:type="dxa"/>
            <w:vAlign w:val="bottom"/>
          </w:tcPr>
          <w:p>
            <w:pPr>
              <w:spacing w:after="0"/>
              <w:rPr>
                <w:sz w:val="17"/>
                <w:szCs w:val="17"/>
                <w:color w:val="auto"/>
              </w:rPr>
            </w:pPr>
          </w:p>
        </w:tc>
        <w:tc>
          <w:tcPr>
            <w:tcW w:w="718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5"/>
                <w:szCs w:val="15"/>
                <w:b w:val="1"/>
                <w:bCs w:val="1"/>
                <w:color w:val="auto"/>
              </w:rPr>
              <w:t>Subsidiary Name</w:t>
            </w:r>
          </w:p>
        </w:tc>
        <w:tc>
          <w:tcPr>
            <w:tcW w:w="1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Owned</w:t>
            </w:r>
          </w:p>
        </w:tc>
        <w:tc>
          <w:tcPr>
            <w:tcW w:w="140" w:type="dxa"/>
            <w:vAlign w:val="bottom"/>
            <w:tcBorders>
              <w:bottom w:val="single" w:sz="8" w:color="CCEEFF"/>
            </w:tcBorders>
          </w:tcPr>
          <w:p>
            <w:pPr>
              <w:spacing w:after="0"/>
              <w:rPr>
                <w:sz w:val="17"/>
                <w:szCs w:val="17"/>
                <w:color w:val="auto"/>
              </w:rPr>
            </w:pPr>
          </w:p>
        </w:tc>
      </w:tr>
      <w:tr>
        <w:trPr>
          <w:trHeight w:val="176"/>
        </w:trPr>
        <w:tc>
          <w:tcPr>
            <w:tcW w:w="1120" w:type="dxa"/>
            <w:vAlign w:val="bottom"/>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Snail Games USA Inc.</w:t>
            </w:r>
          </w:p>
        </w:tc>
        <w:tc>
          <w:tcPr>
            <w:tcW w:w="1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85"/>
        </w:trPr>
        <w:tc>
          <w:tcPr>
            <w:tcW w:w="1120" w:type="dxa"/>
            <w:vAlign w:val="bottom"/>
          </w:tcPr>
          <w:p>
            <w:pPr>
              <w:spacing w:after="0"/>
              <w:rPr>
                <w:sz w:val="16"/>
                <w:szCs w:val="16"/>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Snail Innovation Institute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85"/>
        </w:trPr>
        <w:tc>
          <w:tcPr>
            <w:tcW w:w="1120" w:type="dxa"/>
            <w:vAlign w:val="bottom"/>
          </w:tcPr>
          <w:p>
            <w:pPr>
              <w:spacing w:after="0"/>
              <w:rPr>
                <w:sz w:val="16"/>
                <w:szCs w:val="16"/>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Frostkeep Studios, Inc.</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85"/>
        </w:trPr>
        <w:tc>
          <w:tcPr>
            <w:tcW w:w="1120" w:type="dxa"/>
            <w:vAlign w:val="bottom"/>
          </w:tcPr>
          <w:p>
            <w:pPr>
              <w:spacing w:after="0"/>
              <w:rPr>
                <w:sz w:val="16"/>
                <w:szCs w:val="16"/>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Eminence Corp</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85"/>
        </w:trPr>
        <w:tc>
          <w:tcPr>
            <w:tcW w:w="1120" w:type="dxa"/>
            <w:vAlign w:val="bottom"/>
          </w:tcPr>
          <w:p>
            <w:pPr>
              <w:spacing w:after="0"/>
              <w:rPr>
                <w:sz w:val="16"/>
                <w:szCs w:val="16"/>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Wandering Wizard, LLC</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85"/>
        </w:trPr>
        <w:tc>
          <w:tcPr>
            <w:tcW w:w="1120" w:type="dxa"/>
            <w:vAlign w:val="bottom"/>
          </w:tcPr>
          <w:p>
            <w:pPr>
              <w:spacing w:after="0"/>
              <w:rPr>
                <w:sz w:val="16"/>
                <w:szCs w:val="16"/>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Donkey Crew, LLC</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85"/>
        </w:trPr>
        <w:tc>
          <w:tcPr>
            <w:tcW w:w="1120" w:type="dxa"/>
            <w:vAlign w:val="bottom"/>
          </w:tcPr>
          <w:p>
            <w:pPr>
              <w:spacing w:after="0"/>
              <w:rPr>
                <w:sz w:val="16"/>
                <w:szCs w:val="16"/>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Interactive Films, LLC</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85"/>
        </w:trPr>
        <w:tc>
          <w:tcPr>
            <w:tcW w:w="1120" w:type="dxa"/>
            <w:vAlign w:val="bottom"/>
          </w:tcPr>
          <w:p>
            <w:pPr>
              <w:spacing w:after="0"/>
              <w:rPr>
                <w:sz w:val="16"/>
                <w:szCs w:val="16"/>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Project AWK Productions, LLC</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85"/>
        </w:trPr>
        <w:tc>
          <w:tcPr>
            <w:tcW w:w="1120" w:type="dxa"/>
            <w:vAlign w:val="bottom"/>
          </w:tcPr>
          <w:p>
            <w:pPr>
              <w:spacing w:after="0"/>
              <w:rPr>
                <w:sz w:val="16"/>
                <w:szCs w:val="16"/>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BTBX.IO, LLC</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intercompany accounts, transactions, and profits have been eliminated upon consolidation.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The preparation of condensed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 w:cs="Times New Roman" w:eastAsia="Times New Roman" w:hAnsi="Times New Roman"/>
          <w:sz w:val="15"/>
          <w:szCs w:val="15"/>
          <w:i w:val="1"/>
          <w:iCs w:val="1"/>
          <w:color w:val="auto"/>
        </w:rPr>
        <w:t>Revenue Recognition</w:t>
      </w:r>
      <w:r>
        <w:rPr>
          <w:rFonts w:ascii="Times New Roman" w:cs="Times New Roman" w:eastAsia="Times New Roman" w:hAnsi="Times New Roman"/>
          <w:sz w:val="15"/>
          <w:szCs w:val="15"/>
          <w:color w:val="auto"/>
        </w:rPr>
        <w:t>, provisions for credit losses, deferred income tax assets and associated valuation allowances, deferred revenue, stock-based compensation, the fair value of warrants and convertible debt.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Segment Reporting</w:t>
      </w:r>
    </w:p>
    <w:p>
      <w:pPr>
        <w:spacing w:after="0" w:line="2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 xml:space="preserve">The Company has one operating and reportable segment. Our operations involve similar products and customers worldwide. Revenue earned is primarily derived from the sale of software titles, which are developed internally or licensed from related and third parties. Financial information about our geographic regions is included in Note 3 – </w:t>
      </w:r>
      <w:r>
        <w:rPr>
          <w:rFonts w:ascii="Times New Roman" w:cs="Times New Roman" w:eastAsia="Times New Roman" w:hAnsi="Times New Roman"/>
          <w:sz w:val="15"/>
          <w:szCs w:val="15"/>
          <w:i w:val="1"/>
          <w:iCs w:val="1"/>
          <w:color w:val="auto"/>
        </w:rPr>
        <w:t>Revenue from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Contracts with Customers </w:t>
      </w:r>
      <w:r>
        <w:rPr>
          <w:rFonts w:ascii="Times New Roman" w:cs="Times New Roman" w:eastAsia="Times New Roman" w:hAnsi="Times New Roman"/>
          <w:sz w:val="15"/>
          <w:szCs w:val="15"/>
          <w:color w:val="auto"/>
        </w:rPr>
        <w:t>and information about our reportable operating segment is included in Note 18 –</w:t>
      </w:r>
      <w:r>
        <w:rPr>
          <w:rFonts w:ascii="Times New Roman" w:cs="Times New Roman" w:eastAsia="Times New Roman" w:hAnsi="Times New Roman"/>
          <w:sz w:val="15"/>
          <w:szCs w:val="15"/>
          <w:i w:val="1"/>
          <w:iCs w:val="1"/>
          <w:color w:val="auto"/>
        </w:rPr>
        <w:t xml:space="preserve"> Operating Segments</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 w:name="page10"/>
    <w:bookmarkEnd w:id="9"/>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NOTE 2 – SUMMARY OF SIGNIFICANT ACCOUNTING POLICIES</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201"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5"/>
          <w:szCs w:val="15"/>
          <w:color w:val="auto"/>
        </w:rPr>
        <w:t>The Company’s revenue is generated from the publishing of software games sold digitally and through physical discs (e.g., packaged goods), the publishing of separate downloadable content that are new feature releases to existing digital full-game downloads that are sold digitally, and in-app purchases of virtual goods used by players of its free-to-play mobile games. When control of the promised products and services is transferred to the end users, the Company recognizes revenue in the amount that reflects the consideration it expects to receive in exchange for these products and services. Revenue from delivery of products is recognized at a point in time when the end consumers purchase the games, and the control of the license is transferred to them.</w:t>
      </w:r>
    </w:p>
    <w:p>
      <w:pPr>
        <w:spacing w:after="0" w:line="152" w:lineRule="exact"/>
        <w:rPr>
          <w:sz w:val="20"/>
          <w:szCs w:val="20"/>
          <w:color w:val="auto"/>
        </w:rPr>
      </w:pPr>
    </w:p>
    <w:p>
      <w:pPr>
        <w:jc w:val="both"/>
        <w:ind w:left="8"/>
        <w:spacing w:after="0" w:line="293" w:lineRule="auto"/>
        <w:rPr>
          <w:sz w:val="20"/>
          <w:szCs w:val="20"/>
          <w:color w:val="auto"/>
        </w:rPr>
      </w:pPr>
      <w:r>
        <w:rPr>
          <w:rFonts w:ascii="Times New Roman" w:cs="Times New Roman" w:eastAsia="Times New Roman" w:hAnsi="Times New Roman"/>
          <w:sz w:val="15"/>
          <w:szCs w:val="15"/>
          <w:color w:val="auto"/>
        </w:rPr>
        <w:t>The virtual goods that the Company sells to players of our free-to-play mobile-games, include virtual currency or in-game purchases of additional game play functionality. For virtual goods, the satisfaction of our performance obligation is dependent on the nature of the virtual good purchased and as a result, the Company categorizes its virtual goods as follows:</w:t>
      </w:r>
    </w:p>
    <w:p>
      <w:pPr>
        <w:spacing w:after="0" w:line="133" w:lineRule="exact"/>
        <w:rPr>
          <w:sz w:val="20"/>
          <w:szCs w:val="20"/>
          <w:color w:val="auto"/>
        </w:rPr>
      </w:pPr>
    </w:p>
    <w:p>
      <w:pPr>
        <w:jc w:val="both"/>
        <w:ind w:left="548" w:right="20" w:hanging="271"/>
        <w:spacing w:after="0" w:line="275" w:lineRule="auto"/>
        <w:tabs>
          <w:tab w:leader="none" w:pos="548"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Consumable: consumable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the Company recognizes revenue ratably over the estimated service period, or as items are consumed, as applicable to the game (i.e., over time).</w:t>
      </w:r>
    </w:p>
    <w:p>
      <w:pPr>
        <w:spacing w:after="0" w:line="145" w:lineRule="exact"/>
        <w:rPr>
          <w:rFonts w:ascii="Times New Roman" w:cs="Times New Roman" w:eastAsia="Times New Roman" w:hAnsi="Times New Roman"/>
          <w:sz w:val="15"/>
          <w:szCs w:val="15"/>
          <w:color w:val="auto"/>
        </w:rPr>
      </w:pPr>
    </w:p>
    <w:p>
      <w:pPr>
        <w:jc w:val="both"/>
        <w:ind w:left="548" w:right="20" w:hanging="271"/>
        <w:spacing w:after="0" w:line="275" w:lineRule="auto"/>
        <w:tabs>
          <w:tab w:leader="none" w:pos="548"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Durable: durable virtual items represent items that are accessible to the player over an extended period of time. The Company recognizes revenue from the sale of durable virtual items ratably over the estimated service period for the applicable game (i.e., over time), which represents our best estimate of the average life of the durable virtual item or the life of the user.</w:t>
      </w:r>
    </w:p>
    <w:p>
      <w:pPr>
        <w:spacing w:after="0" w:line="142" w:lineRule="exact"/>
        <w:rPr>
          <w:sz w:val="20"/>
          <w:szCs w:val="20"/>
          <w:color w:val="auto"/>
        </w:rPr>
      </w:pPr>
    </w:p>
    <w:p>
      <w:pPr>
        <w:jc w:val="both"/>
        <w:ind w:left="8"/>
        <w:spacing w:after="0" w:line="271" w:lineRule="auto"/>
        <w:rPr>
          <w:sz w:val="20"/>
          <w:szCs w:val="20"/>
          <w:color w:val="auto"/>
        </w:rPr>
      </w:pPr>
      <w:r>
        <w:rPr>
          <w:rFonts w:ascii="Times New Roman" w:cs="Times New Roman" w:eastAsia="Times New Roman" w:hAnsi="Times New Roman"/>
          <w:sz w:val="15"/>
          <w:szCs w:val="15"/>
          <w:color w:val="auto"/>
        </w:rPr>
        <w:t xml:space="preserve">For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games that were sold in a bundle with downloadable content (“DLC”) that have not yet been launched and been reported in deferred revenue in the condensed consolidated balance sheets, the Company has used the adjusted market assessment approach per Accounting Standards Codification (“ASC”) 606-10-32-34 to assign a value for the Company’s remaining performance obligations. The Company uses the following reasonably available information in developing the standalone selling prices of the performance obligations:</w:t>
      </w:r>
    </w:p>
    <w:p>
      <w:pPr>
        <w:spacing w:after="0" w:line="148" w:lineRule="exact"/>
        <w:rPr>
          <w:sz w:val="20"/>
          <w:szCs w:val="20"/>
          <w:color w:val="auto"/>
        </w:rPr>
      </w:pPr>
    </w:p>
    <w:p>
      <w:pPr>
        <w:ind w:left="548" w:hanging="271"/>
        <w:spacing w:after="0"/>
        <w:tabs>
          <w:tab w:leader="none" w:pos="548"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available data points, including third party or industry pricing, and contractually stated prices.</w:t>
      </w:r>
    </w:p>
    <w:p>
      <w:pPr>
        <w:spacing w:after="0" w:line="196"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such as market demand, competition, market constraints, awareness of the product and market trends.</w:t>
      </w:r>
    </w:p>
    <w:p>
      <w:pPr>
        <w:spacing w:after="0" w:line="196"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Entity-specific factors including pricing strategies and objectives, market share and pricing practices for bundled arrangements.</w:t>
      </w:r>
    </w:p>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xml:space="preserve">The Company recognizes revenue using the following five steps as provided by ASC Topic 606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1) identify the contract(s) with the customer;</w:t>
      </w:r>
    </w:p>
    <w:p>
      <w:pPr>
        <w:spacing w:after="0" w:line="31" w:lineRule="exact"/>
        <w:rPr>
          <w:sz w:val="20"/>
          <w:szCs w:val="20"/>
          <w:color w:val="auto"/>
        </w:rPr>
      </w:pPr>
    </w:p>
    <w:p>
      <w:pPr>
        <w:ind w:left="8" w:hanging="8"/>
        <w:spacing w:after="0" w:line="273" w:lineRule="auto"/>
        <w:tabs>
          <w:tab w:leader="none" w:pos="17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30 to 75 days.</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Principal vs. Agent Consideration</w:t>
      </w:r>
    </w:p>
    <w:p>
      <w:pPr>
        <w:spacing w:after="0" w:line="201" w:lineRule="exact"/>
        <w:rPr>
          <w:sz w:val="20"/>
          <w:szCs w:val="20"/>
          <w:color w:val="auto"/>
        </w:rPr>
      </w:pPr>
    </w:p>
    <w:p>
      <w:pPr>
        <w:jc w:val="both"/>
        <w:ind w:left="8" w:right="20"/>
        <w:spacing w:after="0" w:line="266" w:lineRule="auto"/>
        <w:rPr>
          <w:sz w:val="20"/>
          <w:szCs w:val="20"/>
          <w:color w:val="auto"/>
        </w:rPr>
      </w:pPr>
      <w:r>
        <w:rPr>
          <w:rFonts w:ascii="Times New Roman" w:cs="Times New Roman" w:eastAsia="Times New Roman" w:hAnsi="Times New Roman"/>
          <w:sz w:val="15"/>
          <w:szCs w:val="15"/>
          <w:color w:val="auto"/>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the Company determines whether or not it is acting as the principal in the sale to the end user, which the Company considers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the Company uses in evaluating these sales transactions include, but are not limited to, the following:</w:t>
      </w:r>
    </w:p>
    <w:p>
      <w:pPr>
        <w:spacing w:after="0" w:line="152" w:lineRule="exact"/>
        <w:rPr>
          <w:sz w:val="20"/>
          <w:szCs w:val="20"/>
          <w:color w:val="auto"/>
        </w:rPr>
      </w:pPr>
    </w:p>
    <w:p>
      <w:pPr>
        <w:ind w:left="548" w:hanging="271"/>
        <w:spacing w:after="0"/>
        <w:tabs>
          <w:tab w:leader="none" w:pos="548"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underlying contract terms and conditions between the various parties to the transaction;</w:t>
      </w:r>
    </w:p>
    <w:p>
      <w:pPr>
        <w:spacing w:after="0" w:line="196"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party is primarily responsible for fulfilling the promise to provide the specified good or service; and</w:t>
      </w:r>
    </w:p>
    <w:p>
      <w:pPr>
        <w:spacing w:after="0" w:line="196"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party has discretion in establishing the price for the specified good or service.</w:t>
      </w:r>
    </w:p>
    <w:p>
      <w:pPr>
        <w:spacing w:after="0" w:line="1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200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8"/>
          </w:cols>
          <w:pgMar w:left="312" w:top="583"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Based on our evaluation of the above indicators, for sales arrangements via Microsoft’s Xbox Live, Sony’s PlayStation Network, Valve’s Steam, Epic Games Store, My Nintendo Store, and our retail distributor, the digital platforms and distributors have discretion in establishing the price for the specified good or service and the Company has determined it is the agent in the sales transaction to the end user and therefore the Company reports revenue on a net basis based on the consideration received from the digital storefront. For sales arrangements via Apple’s App Store and the Google Play Store, the Company has discretion in establishing the price for the specified good or service and it has determined that the Company is the principal to the end user and thus reports revenue on a gross basis and mobile platform fees charged by these digital storefronts are expensed as incurred and reported within cost of revenues.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Balance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records deferred revenue when cash payments are received or due in advance of its performance, even if amounts are refundable.</w:t>
      </w:r>
    </w:p>
    <w:p>
      <w:pPr>
        <w:spacing w:after="0" w:line="19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ratably over their estimated service period. The Company’s estimated service period for players of our current software games is generally 30 to 100 days from the date of purchase.</w:t>
      </w:r>
    </w:p>
    <w:p>
      <w:pPr>
        <w:spacing w:after="0" w:line="1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color w:val="auto"/>
        </w:rPr>
        <w:t xml:space="preserve">The Company has a long-term title license agreement with a platform which makes </w:t>
      </w:r>
      <w:r>
        <w:rPr>
          <w:rFonts w:ascii="Times New Roman" w:cs="Times New Roman" w:eastAsia="Times New Roman" w:hAnsi="Times New Roman"/>
          <w:sz w:val="15"/>
          <w:szCs w:val="15"/>
          <w:i w:val="1"/>
          <w:iCs w:val="1"/>
          <w:color w:val="auto"/>
        </w:rPr>
        <w:t>ARK 1</w:t>
      </w:r>
      <w:r>
        <w:rPr>
          <w:rFonts w:ascii="Times New Roman" w:cs="Times New Roman" w:eastAsia="Times New Roman" w:hAnsi="Times New Roman"/>
          <w:sz w:val="15"/>
          <w:szCs w:val="15"/>
          <w:color w:val="auto"/>
        </w:rPr>
        <w:t xml:space="preserve"> available on the platform in perpetuity, and puts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on the platform for three years upon release. The Company deferred $2.3 million related to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that is included in the long-term portion of deferred revenue and will be recognized upon the release of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on the platform.</w:t>
      </w:r>
    </w:p>
    <w:p>
      <w:pPr>
        <w:spacing w:after="0" w:line="1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color w:val="auto"/>
        </w:rPr>
        <w:t xml:space="preserve">In July 2023, the Company entered into a distribution agreement with its retail distribution partner for the distribution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The initial term is two years and will renew each subsequent year unless it is cancelled. As of March 31, 2025, the Company has deferred $1.1 million related to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as long-term deferred revenue until the disc releases occur.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Estimated Service Period</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For certain performance obligations satisfied over time, the Company has determined that the estimated service period is the time period in which an average user plays our software games (“user life”) which most faithfully depicts the timing of satisfying our performance obligation. The Company considers a variety of data points when determining and subsequently reassessing the estimated service period for players of our software games. Primarily, the Company reviews the weighted average number of days between players’ first and last day playing online or the subscription trend. The Company also considers publicly available online trends.</w:t>
      </w:r>
    </w:p>
    <w:p>
      <w:pPr>
        <w:spacing w:after="0" w:line="1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The Company believes this provides a reasonable depiction of the transfer of our game related services to our players, as it is the best representation of the period during which our players play our software games. Future usage patterns may differ from historical usage patterns, and therefore the estimated service period may change in the future. The estimated service periods for players of our current software games are generally between 30 and 100 days depending on the software games.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Shipping, Handling and Value Added Taxes (“VAT”)</w:t>
      </w:r>
    </w:p>
    <w:p>
      <w:pPr>
        <w:spacing w:after="0" w:line="20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distributor, as the principal, is responsible for the shipping of the game discs to retail stores and incurring the shipping and VAT costs. The Company is paid the net sales amount after deducting shipping costs, VAT and other related expenses by the distributor.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20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Cost of revenues include software license royalty fees, merchant fees, server and database center costs, game licenses, engine fees and amortization costs. Cost of revenues for the three months ended March 31, 2025 and 2024 were comprised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license royalties – related parties</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5,273,727</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3,274,020</w:t>
            </w:r>
          </w:p>
        </w:tc>
        <w:tc>
          <w:tcPr>
            <w:tcW w:w="100" w:type="dxa"/>
            <w:vAlign w:val="bottom"/>
            <w:shd w:val="clear" w:color="auto" w:fill="CCEEFF"/>
          </w:tcPr>
          <w:p>
            <w:pPr>
              <w:spacing w:after="0"/>
              <w:rPr>
                <w:sz w:val="15"/>
                <w:szCs w:val="15"/>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Software license royalties</w:t>
            </w: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53,830</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162,748</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License and amortization – related parties</w:t>
            </w:r>
          </w:p>
        </w:tc>
        <w:tc>
          <w:tcPr>
            <w:tcW w:w="1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6,000,000</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6,000,000</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License and amortization</w:t>
            </w: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263,725</w:t>
            </w:r>
          </w:p>
        </w:tc>
        <w:tc>
          <w:tcPr>
            <w:tcW w:w="44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201</w:t>
            </w: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Merchant fees</w:t>
            </w:r>
          </w:p>
        </w:tc>
        <w:tc>
          <w:tcPr>
            <w:tcW w:w="1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554,695</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221,449</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Engine fees</w:t>
            </w: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812,948</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961,442</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Internet, server and data center</w:t>
            </w:r>
          </w:p>
        </w:tc>
        <w:tc>
          <w:tcPr>
            <w:tcW w:w="1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1,295,938</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1,400,006</w:t>
            </w:r>
          </w:p>
        </w:tc>
        <w:tc>
          <w:tcPr>
            <w:tcW w:w="100" w:type="dxa"/>
            <w:vAlign w:val="bottom"/>
            <w:shd w:val="clear" w:color="auto" w:fill="CCEEFF"/>
          </w:tcPr>
          <w:p>
            <w:pPr>
              <w:spacing w:after="0"/>
              <w:rPr>
                <w:sz w:val="16"/>
                <w:szCs w:val="16"/>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1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8,482</w:t>
            </w:r>
          </w:p>
        </w:tc>
        <w:tc>
          <w:tcPr>
            <w:tcW w:w="44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21,832</w:t>
            </w:r>
          </w:p>
        </w:tc>
      </w:tr>
      <w:tr>
        <w:trPr>
          <w:trHeight w:val="188"/>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14,263,345</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12,041,698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Costs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General and administrative costs include rent, salaries, stock-based compensation, legal and professional expenses, expenses related to being a publicly traded company, administrative internet and server, contractor costs, insurance expense, licenses and permits, other taxes and travel expenses. These costs are expensed as they are incurred. For the three months ended March 31, 2025 and 2024, general and administrative expenses totaled $4,964,351 and $2,282,040, respectively. Stock based compensation expense (income) of $788,177 and $(862,634) was incurred during the three months ended March 31, 2025 and 2024,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 Costs</w:t>
      </w:r>
    </w:p>
    <w:p>
      <w:pPr>
        <w:spacing w:after="0" w:line="20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Company expenses advertising and marketing costs as incurred. For the three months ended March 31, 2025 and 2024, advertising and marketing expenses totaled $1,306,365 and $141,030,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2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Research and development costs are expensed as incurred. Research and development costs include travel, payroll, and other general expenses specific to research and development activities. Research and development costs for the three months ended March 31, 2025 and 2024 were $3,609,745 and $1,776,522, respectively. Stock-based compensation expense (income), included in research and development costs, of $55,442 and $(64,241) was incurred during the three months ended March 31, 2025 and 2024,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Non-controlling Interests</w:t>
      </w:r>
    </w:p>
    <w:p>
      <w:pPr>
        <w:spacing w:after="0" w:line="20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Non-controlling interests on the condensed consolidated balance sheets and condensed consolidated statements of operations and comprehensive loss include the equity allocated to non-controlling interest holders. As of March 31, 2025 and December 31, 2024, there were non-controlling interests with the following subsidiaries: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Subsidiary Name</w:t>
            </w:r>
          </w:p>
        </w:tc>
        <w:tc>
          <w:tcPr>
            <w:tcW w:w="32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Equity % Owned</w:t>
            </w:r>
          </w:p>
        </w:tc>
        <w:tc>
          <w:tcPr>
            <w:tcW w:w="36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Non-Controlling %</w:t>
            </w:r>
          </w:p>
        </w:tc>
        <w:tc>
          <w:tcPr>
            <w:tcW w:w="140" w:type="dxa"/>
            <w:vAlign w:val="bottom"/>
            <w:tcBorders>
              <w:bottom w:val="single" w:sz="8" w:color="CCEEFF"/>
            </w:tcBorders>
          </w:tcPr>
          <w:p>
            <w:pPr>
              <w:spacing w:after="0"/>
              <w:rPr>
                <w:sz w:val="17"/>
                <w:szCs w:val="17"/>
                <w:color w:val="auto"/>
              </w:rPr>
            </w:pPr>
          </w:p>
        </w:tc>
      </w:tr>
      <w:tr>
        <w:trPr>
          <w:trHeight w:val="17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Snail Innovative Institute</w:t>
            </w:r>
          </w:p>
        </w:tc>
        <w:tc>
          <w:tcPr>
            <w:tcW w:w="3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70%</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r>
      <w:tr>
        <w:trPr>
          <w:trHeight w:val="185"/>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BTBX.IO, LLC</w:t>
            </w:r>
          </w:p>
        </w:tc>
        <w:tc>
          <w:tcPr>
            <w:tcW w:w="568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70%</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r>
      <w:tr>
        <w:trPr>
          <w:trHeight w:val="18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Donkey Crew, LLC</w:t>
            </w:r>
          </w:p>
        </w:tc>
        <w:tc>
          <w:tcPr>
            <w:tcW w:w="56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99%</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r>
      <w:tr>
        <w:trPr>
          <w:trHeight w:val="369"/>
        </w:trPr>
        <w:tc>
          <w:tcPr>
            <w:tcW w:w="35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4"/>
          </w:tcPr>
          <w:p>
            <w:pPr>
              <w:jc w:val="right"/>
              <w:ind w:right="3480"/>
              <w:spacing w:after="0"/>
              <w:rPr>
                <w:sz w:val="20"/>
                <w:szCs w:val="20"/>
                <w:color w:val="auto"/>
              </w:rPr>
            </w:pPr>
            <w:r>
              <w:rPr>
                <w:rFonts w:ascii="Times New Roman" w:cs="Times New Roman" w:eastAsia="Times New Roman" w:hAnsi="Times New Roman"/>
                <w:sz w:val="15"/>
                <w:szCs w:val="15"/>
                <w:color w:val="auto"/>
              </w:rPr>
              <w:t>F-9</w:t>
            </w:r>
          </w:p>
        </w:tc>
        <w:tc>
          <w:tcPr>
            <w:tcW w:w="1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83"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 and Restricted Cash and Cash Equivalents</w:t>
      </w:r>
    </w:p>
    <w:p>
      <w:pPr>
        <w:spacing w:after="0" w:line="2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Cash is available for use in current operations or other activities such as capital expenditures and business combinations. Restricted cash and cash equivalents are time deposits, that are currently provided as a standby letter of credit to landlords. The Company’s policy for determining whether an item is treated as cash, or a cash equivalent, is based on its original maturity, liquidity, and risk profile. Investments with maturities of three months or less, are highly liquid and have insignificant risk are considered to be cash equivalents.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risk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 There were no credit losses recognized during the three months ended March 31, 2025 and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Film Costs, net</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capitalizes costs to produce short videos in accordance with Financial Accounting Standards Board (“FASB”) ASC Topic 926, including direct production costs, production overhead, interest, acquisition costs and development costs. The Company will account for each episodic series as a unit for which capitalized film costs will be amortized by the Company using the individual-film forecast-computation method. Each reporting period the Company will reassess its estimate of ultimate revenues used to determine the amortization rate for each episodic series. If the estimate is revised, the Company will account for the change prospectively. The Company will then remeasure the amortization based on the portion of ultimate revenues that have been recognized and that are yet to be recognized. Unamortized film costs shall be tested for impairment whenever events or changes in circumstances indicate that fair value of the film may be less than its unamortized film costs. If the fair value of an episodic series is less than its unamortized film costs, the Company will write off the excess amount. The Company groups its film and content rights by monetization strategy. As of March 31, 2025 and December 31, 2024, $2,321,496 and $1,512,960, respectively, of film costs are capitalized and included in other noncurrent assets, net in the accompanying condensed consolidated balance sheets. During the three months ended March 31, 2025, $212,709 of film costs were amortized and reported in the cost of revenues in the Company’s condensed consolidated statement of operations and comprehensive loss. There was no film cost amortization in the three months ended March 31,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Software Development Costs and Licenses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account for software products intended to be sold, leased or otherwise marketed in accordance with ASC 985. Accordingly, we capitalize costs incurred for internally developed titles and payments made to third-party software developers under development agreements as software. These software development costs may include payroll, materials, and other costs directly related to development activities subsequent to establishing technological feasibility of the software. Significant management judgments are made in the assessment of when technological feasibility is established. Technological feasibility is evaluated on a product-by-product basis. Prior to establishing technological feasibility of a product, we record any costs incurred by their-party developers as research and development expenses.</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Company also enters into agreements with third-party developers that require us to make payments for game development. In exchange for our payments, we receive exclusive licensing and publishing rights to the game titles. These agreements typically include a tiered royalty share between the Company and the developer, net of any shared costs. These agreements are commonly entered into after completing the technical design document, viewing a game play demonstration and verifying they conform with game design documentation. The developers are often experienced with an established track record of past development projects, we monitor the software development process, and establish technological feasibility. We also enter into agreements with third-party developers after completing the technical design documentation and therefore record the design costs leading up to a signed development contract as research and development expense. Accordingly, we may be able to establish technological feasibility of a title early in the development cycle. After technological feasibility is established, we capitalize these software development costs as software licenses.</w:t>
      </w:r>
    </w:p>
    <w:p>
      <w:pPr>
        <w:spacing w:after="0" w:line="15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As of March 31, 2025, the Company capitalized $1,220,743 of software development costs under ASC 985 for various titles, which are included in intangible assets, net, in the Company’s condensed consolidated balance sheets. There were no software development costs capitalized under ASC 985 during the three months ended March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Measurements</w:t>
      </w:r>
    </w:p>
    <w:p>
      <w:pPr>
        <w:spacing w:after="0" w:line="20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spacing w:after="0" w:line="3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following describes the hierarchy of inputs used to measure fair value and the primary valuation methodologies used by the Company for financial instruments measured at fair value.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three levels of inputs are as follows:</w:t>
      </w:r>
    </w:p>
    <w:p>
      <w:pPr>
        <w:spacing w:after="0" w:line="193" w:lineRule="exact"/>
        <w:rPr>
          <w:sz w:val="20"/>
          <w:szCs w:val="20"/>
          <w:color w:val="auto"/>
        </w:rPr>
      </w:pPr>
    </w:p>
    <w:p>
      <w:pPr>
        <w:ind w:left="540" w:hanging="271"/>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1</w:t>
      </w:r>
      <w:r>
        <w:rPr>
          <w:rFonts w:ascii="Times New Roman" w:cs="Times New Roman" w:eastAsia="Times New Roman" w:hAnsi="Times New Roman"/>
          <w:sz w:val="15"/>
          <w:szCs w:val="15"/>
          <w:color w:val="auto"/>
        </w:rPr>
        <w:t>: Quoted prices in active markets for identical assets or liabilities that the Company has an ability to access as of the measurement date.</w:t>
      </w:r>
    </w:p>
    <w:p>
      <w:pPr>
        <w:spacing w:after="0" w:line="196" w:lineRule="exact"/>
        <w:rPr>
          <w:rFonts w:ascii="Times New Roman" w:cs="Times New Roman" w:eastAsia="Times New Roman" w:hAnsi="Times New Roman"/>
          <w:sz w:val="15"/>
          <w:szCs w:val="15"/>
          <w:color w:val="auto"/>
        </w:rPr>
      </w:pPr>
    </w:p>
    <w:p>
      <w:pPr>
        <w:ind w:left="540" w:hanging="271"/>
        <w:spacing w:after="0" w:line="299"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2</w:t>
      </w:r>
      <w:r>
        <w:rPr>
          <w:rFonts w:ascii="Times New Roman" w:cs="Times New Roman" w:eastAsia="Times New Roman" w:hAnsi="Times New Roman"/>
          <w:sz w:val="15"/>
          <w:szCs w:val="15"/>
          <w:color w:val="auto"/>
        </w:rPr>
        <w:t>: Inputs that are observable, either directly or indirectly, such as quoted prices for similar assets or liabilities, quoted prices in markets that are not active, or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inputs that are observable or can be corroborated by observable market data for substantially the same term of the assets or liabilities.</w:t>
      </w:r>
    </w:p>
    <w:p>
      <w:pPr>
        <w:spacing w:after="0" w:line="124"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3</w:t>
      </w:r>
      <w:r>
        <w:rPr>
          <w:rFonts w:ascii="Times New Roman" w:cs="Times New Roman" w:eastAsia="Times New Roman" w:hAnsi="Times New Roman"/>
          <w:sz w:val="15"/>
          <w:szCs w:val="15"/>
          <w:color w:val="auto"/>
        </w:rPr>
        <w:t>: Unobservable inputs that are supported by little or no market activity and that are significant to the fair value of the assets or liabilities.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and accounts payable. The carrying values of receivables, payables, and other amounts arising out of the normal course of business approximate their fair value due to their short maturities or economic substance. The carrying amount of the Company’s short-term and long-term borrowings, which are considered level 2 liabilities, approximate their fair value based on current rates and terms available to the Company for similar debt. The fair value of the Company’s promissory note has a fixed rate until June 2026, then a floating rate that approximates the Wall Street Journal Prime Rate plus 0.50%. The Company considers the carrying amount of the loan to approximate fair value as the discounted cost in comparison to market rates would not be materially different than the cost to acquire a loan with similar terms. The Company’s convertible notes are measured at fair value using a binomial lattice framework and a range of level 3 inputs as described in Note 12 – </w:t>
      </w:r>
      <w:r>
        <w:rPr>
          <w:rFonts w:ascii="Times New Roman" w:cs="Times New Roman" w:eastAsia="Times New Roman" w:hAnsi="Times New Roman"/>
          <w:sz w:val="15"/>
          <w:szCs w:val="15"/>
          <w:i w:val="1"/>
          <w:iCs w:val="1"/>
          <w:color w:val="auto"/>
        </w:rPr>
        <w:t>Revolving Loan, Short Term Notes and Long-Term Debt</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The Company also has liability classified warrants measured at fair value on a recurring basis. During the three months ended March 31, 2025, the Company transitioned its valuation methodology from a Monte Carlo simulation model to a Black-Scholes option-pricing model. The Company had historically valued the warrants using a Monte Carlo simulation due to certain anti dilutive features that are no longer expected to occur. The change represents a change in accounting estimate and is applied prospectively. See Note 17 – </w:t>
      </w:r>
      <w:r>
        <w:rPr>
          <w:rFonts w:ascii="Times New Roman" w:cs="Times New Roman" w:eastAsia="Times New Roman" w:hAnsi="Times New Roman"/>
          <w:sz w:val="15"/>
          <w:szCs w:val="15"/>
          <w:i w:val="1"/>
          <w:iCs w:val="1"/>
          <w:color w:val="auto"/>
        </w:rPr>
        <w:t>Equity</w:t>
      </w:r>
      <w:r>
        <w:rPr>
          <w:rFonts w:ascii="Times New Roman" w:cs="Times New Roman" w:eastAsia="Times New Roman" w:hAnsi="Times New Roman"/>
          <w:sz w:val="15"/>
          <w:szCs w:val="15"/>
          <w:color w:val="auto"/>
        </w:rPr>
        <w:t xml:space="preserve"> for the fair value disclosures related to the Company’s convertible notes, and the Company’s warrant liability and derivative instruments. The Company does not have any other assets or liabilities measured at fair value on a recurring or non-recurring basis as of March 31, 2025 and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Amortizable Intangibles and Other Long-lived Assets</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Company’s long-lived assets and other assets consisting of property and equipment and purchased intangible assets, are reviewed for impairment in accordance with the guidance of FASB Topic ASC 360, Property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Income taxes are provided for the tax effects of transactions reported in the condensed consolidated financial statements and consisted of taxes currently due and deferred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Deferred taxes are recognized for the differences between the basis of assets and liabilities for financial statement and income tax purposes.</w:t>
      </w:r>
    </w:p>
    <w:p>
      <w:pPr>
        <w:spacing w:after="0" w:line="182"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Company follows FASB Topic ASC 740, Income Taxes, which requires the recognition of deferred tax assets and liabilities for the expected future tax consequences of events that have been included in the consolidated financial statements or tax returns.</w:t>
      </w:r>
    </w:p>
    <w:p>
      <w:pPr>
        <w:spacing w:after="0" w:line="13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long-term accrued expenses on the accompanying condensed consolidated balance sheets in the amount of $265,251 as of March 31, 2025 and December 31, 2024. The Company accrues and recognizes interest and penalties related to unrecognized tax benefits in operating expenses.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 and Significant Customers</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Company maintains cash balances at several major financial institutions. While the Company attempts to limit credit exposure with any single institution, balances often exceed insurable amounts. As of March 31, 2025 and December 31, 2024, the Company had deposits of $8,932,382 and $6,610,066, respectively, that were not insured by the Federal Deposit Insurance Corporation and are included in the cash and cash equivalents, and restricted cash and cash equivalents, in the accompanying condensed consolidated balance sheets.</w:t>
      </w:r>
    </w:p>
    <w:p>
      <w:pPr>
        <w:spacing w:after="0" w:line="3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Company extends credit to various digital resellers and partners. Collection of trade receivables may be affected by changes in economic or other industry conditions and may, accordingly, impact our overall credit risk. The Company does not require collateral or other security to support financial instruments subject to credit risk. The Company performs ongoing credit evaluations of customers and maintains reserves for potentially uncollectible accounts. The Company has four customers as of March 31, 2025 and December 31, 2024, who accounted for approximately 84% and 85% of consolidated gross receivables, respectively. Among four customers as of March 31, 2025 and December 31, 2024, each customer accounted for 33%, 27%, 12% and 12% as of March 31, 2025, and 42%, 19%, 14% and 10% as of December 31, 2024 of the consolidated gross receivables outstanding. The Company had four customers in the three months ended March 31, 2025, and 2024, that accounted for 44%, 14%, 14% and 12%, and 37%, 15%, 13% and 11% of the Company’s net revenue, respectively. The loss of these customers or declines in the forecasts of their accounts receivable collectability would have a significant impact on the Company’s financial performance.</w:t>
      </w:r>
    </w:p>
    <w:p>
      <w:pPr>
        <w:spacing w:after="0" w:line="344"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As of March 31, 2025 and December 31, 2024, the Company had one vendor who accounted for approximately 24% and 36% of consolidated gross payables, respectively. The loss of this vendor could have a significant impact on the Company’s financial performance.</w:t>
      </w:r>
    </w:p>
    <w:p>
      <w:pPr>
        <w:spacing w:after="0" w:line="1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The Company had one vendor, SDE, a related party, that accounted for 47% and 66% of the Company’s combined cost of revenues and operating expenses during the three months ended March 31, 2025 and 2024, respectively. Amounts payable to SDE are included in accounts receivable – related party in the condensed consolidated balance sheets as of March 31, 2025 and December 31, 2024, respectively. The loss of SDE as a vendor would significantly and adversely affect the Company’s core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In December 2023, the FASB issued ASU 2023-09, </w:t>
      </w:r>
      <w:r>
        <w:rPr>
          <w:rFonts w:ascii="Times New Roman" w:cs="Times New Roman" w:eastAsia="Times New Roman" w:hAnsi="Times New Roman"/>
          <w:sz w:val="15"/>
          <w:szCs w:val="15"/>
          <w:i w:val="1"/>
          <w:iCs w:val="1"/>
          <w:color w:val="auto"/>
        </w:rPr>
        <w:t>Income Taxes (Topic 740): Improvements to Income Tax Disclosures,</w:t>
      </w:r>
      <w:r>
        <w:rPr>
          <w:rFonts w:ascii="Times New Roman" w:cs="Times New Roman" w:eastAsia="Times New Roman" w:hAnsi="Times New Roman"/>
          <w:sz w:val="15"/>
          <w:szCs w:val="15"/>
          <w:color w:val="auto"/>
        </w:rPr>
        <w:t xml:space="preserve"> to improve the transparency of income tax disclosures requiring consistent categories and greater disaggregation of information in the rate reconciliation and income taxes paid disaggregated by jurisdiction. The amendments in the update requires that public business entities, on an annual basis, disclose specific categories in the rate reconciliation and provide additional information for reconciling items that meet a quantitative threshold. The amendments in this update are effective for annual periods beginning after December 15, 2024. The Company is evaluating the impact of adopting the new standard.</w:t>
      </w:r>
    </w:p>
    <w:p>
      <w:pPr>
        <w:spacing w:after="0" w:line="3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 xml:space="preserve">In November 2024, the FASB issued ASU 2024-03, </w:t>
      </w:r>
      <w:r>
        <w:rPr>
          <w:rFonts w:ascii="Times New Roman" w:cs="Times New Roman" w:eastAsia="Times New Roman" w:hAnsi="Times New Roman"/>
          <w:sz w:val="15"/>
          <w:szCs w:val="15"/>
          <w:i w:val="1"/>
          <w:iCs w:val="1"/>
          <w:color w:val="auto"/>
        </w:rPr>
        <w:t>Income Statement – Reporting Comprehensive Income – Expense Disaggregation Disclosures (Subtopic 220-40): Disaggregation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of Income Statement Expenses, </w:t>
      </w:r>
      <w:r>
        <w:rPr>
          <w:rFonts w:ascii="Times New Roman" w:cs="Times New Roman" w:eastAsia="Times New Roman" w:hAnsi="Times New Roman"/>
          <w:sz w:val="15"/>
          <w:szCs w:val="15"/>
          <w:color w:val="auto"/>
        </w:rPr>
        <w:t>to improve the disclosures about a public business entity’s expenses and address requests from investors for more detailed information about the types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expenses in commonly presented expense captions. The amendments in this update are effective for annual periods beginning after December 15, 2026, and interim reporting periods beginning after December 15, 2027, though early adoption is permitted. The Company is evaluating the impact of adopting the new standard.</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 xml:space="preserve">In November 2024, the FASB issued ASU 2024-04, </w:t>
      </w:r>
      <w:r>
        <w:rPr>
          <w:rFonts w:ascii="Times New Roman" w:cs="Times New Roman" w:eastAsia="Times New Roman" w:hAnsi="Times New Roman"/>
          <w:sz w:val="15"/>
          <w:szCs w:val="15"/>
          <w:i w:val="1"/>
          <w:iCs w:val="1"/>
          <w:color w:val="auto"/>
        </w:rPr>
        <w:t>Debt – Debt with Conversion and Other Options (Subtopic 470-20): Induced Conversions of Convertible Debt Instruments,</w:t>
      </w:r>
      <w:r>
        <w:rPr>
          <w:rFonts w:ascii="Times New Roman" w:cs="Times New Roman" w:eastAsia="Times New Roman" w:hAnsi="Times New Roman"/>
          <w:sz w:val="15"/>
          <w:szCs w:val="15"/>
          <w:color w:val="auto"/>
        </w:rPr>
        <w:t xml:space="preserve"> to clarify the requirements for determining whether certain settlements of convertible debt instruments should be accounted for as an induced conversion. The amendments in this update are effective for annual periods beginning after December 15, 2025, and interim reporting periods within show annual periods. Early adoption is permitted for all entities that have adopted the amendments in update 2020-06. The Company is evaluating the impact of adopting the new standard.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Employee Savings Plans</w:t>
      </w:r>
    </w:p>
    <w:p>
      <w:pPr>
        <w:spacing w:after="0" w:line="20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Company maintains a 401(k) for its United States based employees. The plan is offered to all eligible employees to make voluntary contributions. Employer contributions to the plan are reported under general and administrative costs in the amounts of $32,762 and $24,274 for the three months ended March 31, 2025 and 2024,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did not issue any restricted stock units (“Restricted Stock Units” or “restricted stock units”) during the three months ended March 31, 2025, and 2024. The fair value of Restricted Stock Units is determined based on the quoted market price of our common stock on the date of grant.</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5,718,000 shares, (b) 1% of the shares of the Company’s Class B common stock outstanding (on a fully diluted basis) on the final day of the immediately preceding calendar year or (c) such smaller number of shares as determined by the Company’s board of directors. As of March 31, 2025 and December 31, 2024, there were 4,521,068 and 4,508,239 shares reserved for issuance under the 2022 Plan,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Units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Company granted restricted stock units under our 2022 Omnibus Incentive Plan to employees during the initial public offering and grants restricted stock units under the plan to directors over certain periods.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Class A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Each of the outstanding warrants is convertible on a one-for-one basis into the Company’s common stock and are fully exercisable as of March 31, 2025. A summary of our outstanding warrants as of March 31, 2025 is included below:</w:t>
      </w:r>
    </w:p>
    <w:p>
      <w:pPr>
        <w:sectPr>
          <w:pgSz w:w="11900" w:h="16838" w:orient="portrait"/>
          <w:cols w:equalWidth="0" w:num="1">
            <w:col w:w="11260"/>
          </w:cols>
          <w:pgMar w:left="320" w:top="583" w:right="319" w:bottom="1440" w:gutter="0" w:footer="0" w:header="0"/>
        </w:sect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Equity line of credit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Convertible notes warrants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Underwriters warrants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warrants: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Number Outstanding</w:t>
            </w:r>
          </w:p>
        </w:tc>
        <w:tc>
          <w:tcPr>
            <w:tcW w:w="18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600" w:type="dxa"/>
            <w:vAlign w:val="bottom"/>
            <w:gridSpan w:val="3"/>
          </w:tcPr>
          <w:p>
            <w:pPr>
              <w:ind w:left="260"/>
              <w:spacing w:after="0"/>
              <w:rPr>
                <w:sz w:val="20"/>
                <w:szCs w:val="20"/>
                <w:color w:val="auto"/>
              </w:rPr>
            </w:pPr>
            <w:r>
              <w:rPr>
                <w:rFonts w:ascii="Times New Roman" w:cs="Times New Roman" w:eastAsia="Times New Roman" w:hAnsi="Times New Roman"/>
                <w:sz w:val="15"/>
                <w:szCs w:val="15"/>
                <w:b w:val="1"/>
                <w:bCs w:val="1"/>
                <w:color w:val="auto"/>
              </w:rPr>
              <w:t>Expiration Date</w:t>
            </w:r>
          </w:p>
        </w:tc>
      </w:tr>
      <w:tr>
        <w:trPr>
          <w:trHeight w:val="162"/>
        </w:trPr>
        <w:tc>
          <w:tcPr>
            <w:tcW w:w="1480" w:type="dxa"/>
            <w:vAlign w:val="bottom"/>
            <w:tcBorders>
              <w:top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334,314</w:t>
            </w:r>
          </w:p>
        </w:tc>
        <w:tc>
          <w:tcPr>
            <w:tcW w:w="340" w:type="dxa"/>
            <w:vAlign w:val="bottom"/>
          </w:tcPr>
          <w:p>
            <w:pPr>
              <w:spacing w:after="0"/>
              <w:rPr>
                <w:sz w:val="14"/>
                <w:szCs w:val="14"/>
                <w:color w:val="auto"/>
              </w:rPr>
            </w:pPr>
          </w:p>
        </w:tc>
        <w:tc>
          <w:tcPr>
            <w:tcW w:w="180" w:type="dxa"/>
            <w:vAlign w:val="bottom"/>
            <w:tcBorders>
              <w:top w:val="single" w:sz="8" w:color="auto"/>
            </w:tcBorders>
          </w:tcPr>
          <w:p>
            <w:pPr>
              <w:jc w:val="right"/>
              <w:ind w:right="2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1.50</w:t>
            </w:r>
          </w:p>
        </w:tc>
        <w:tc>
          <w:tcPr>
            <w:tcW w:w="320" w:type="dxa"/>
            <w:vAlign w:val="bottom"/>
          </w:tcPr>
          <w:p>
            <w:pPr>
              <w:spacing w:after="0"/>
              <w:rPr>
                <w:sz w:val="14"/>
                <w:szCs w:val="14"/>
                <w:color w:val="auto"/>
              </w:rPr>
            </w:pPr>
          </w:p>
        </w:tc>
        <w:tc>
          <w:tcPr>
            <w:tcW w:w="1560" w:type="dxa"/>
            <w:vAlign w:val="bottom"/>
            <w:tcBorders>
              <w:top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Liability</w:t>
            </w:r>
          </w:p>
        </w:tc>
        <w:tc>
          <w:tcPr>
            <w:tcW w:w="220" w:type="dxa"/>
            <w:vAlign w:val="bottom"/>
          </w:tcPr>
          <w:p>
            <w:pPr>
              <w:spacing w:after="0"/>
              <w:rPr>
                <w:sz w:val="14"/>
                <w:szCs w:val="14"/>
                <w:color w:val="auto"/>
              </w:rPr>
            </w:pPr>
          </w:p>
        </w:tc>
        <w:tc>
          <w:tcPr>
            <w:tcW w:w="1580" w:type="dxa"/>
            <w:vAlign w:val="bottom"/>
            <w:tcBorders>
              <w:top w:val="single" w:sz="8" w:color="auto"/>
            </w:tcBorders>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August 24, 2028</w:t>
            </w:r>
          </w:p>
        </w:tc>
        <w:tc>
          <w:tcPr>
            <w:tcW w:w="20" w:type="dxa"/>
            <w:vAlign w:val="bottom"/>
          </w:tcPr>
          <w:p>
            <w:pPr>
              <w:spacing w:after="0"/>
              <w:rPr>
                <w:sz w:val="14"/>
                <w:szCs w:val="14"/>
                <w:color w:val="auto"/>
              </w:rPr>
            </w:pPr>
          </w:p>
        </w:tc>
      </w:tr>
      <w:tr>
        <w:trPr>
          <w:trHeight w:val="185"/>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1,216,185</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.84</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Liability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November 24,</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2028</w:t>
            </w:r>
          </w:p>
        </w:tc>
        <w:tc>
          <w:tcPr>
            <w:tcW w:w="20" w:type="dxa"/>
            <w:vAlign w:val="bottom"/>
          </w:tcPr>
          <w:p>
            <w:pPr>
              <w:spacing w:after="0"/>
              <w:rPr>
                <w:sz w:val="16"/>
                <w:szCs w:val="16"/>
                <w:color w:val="auto"/>
              </w:rPr>
            </w:pPr>
          </w:p>
        </w:tc>
      </w:tr>
      <w:tr>
        <w:trPr>
          <w:trHeight w:val="211"/>
        </w:trPr>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120,000</w:t>
            </w: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6.25</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Equity</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November 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2025</w:t>
            </w:r>
          </w:p>
        </w:tc>
      </w:tr>
      <w:tr>
        <w:trPr>
          <w:trHeight w:val="188"/>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1,670,499</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-519430</wp:posOffset>
            </wp:positionV>
            <wp:extent cx="7152005" cy="124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2005" cy="1244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-278130</wp:posOffset>
            </wp:positionV>
            <wp:extent cx="7152005" cy="124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2005" cy="12446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3560" w:space="720"/>
            <w:col w:w="6980"/>
          </w:cols>
          <w:pgMar w:left="320" w:top="58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 summary of our outstanding warrants as of December 31, 2024 is included below:</w:t>
      </w:r>
    </w:p>
    <w:p>
      <w:pPr>
        <w:sectPr>
          <w:pgSz w:w="11900" w:h="16838" w:orient="portrait"/>
          <w:cols w:equalWidth="0" w:num="1">
            <w:col w:w="11260"/>
          </w:cols>
          <w:pgMar w:left="320" w:top="583" w:right="31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Equity line of credit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Convertible notes warrants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Underwriters warrants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warrants: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Number Outstanding</w:t>
            </w:r>
          </w:p>
        </w:tc>
        <w:tc>
          <w:tcPr>
            <w:tcW w:w="18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600" w:type="dxa"/>
            <w:vAlign w:val="bottom"/>
            <w:gridSpan w:val="3"/>
          </w:tcPr>
          <w:p>
            <w:pPr>
              <w:ind w:left="260"/>
              <w:spacing w:after="0"/>
              <w:rPr>
                <w:sz w:val="20"/>
                <w:szCs w:val="20"/>
                <w:color w:val="auto"/>
              </w:rPr>
            </w:pPr>
            <w:r>
              <w:rPr>
                <w:rFonts w:ascii="Times New Roman" w:cs="Times New Roman" w:eastAsia="Times New Roman" w:hAnsi="Times New Roman"/>
                <w:sz w:val="15"/>
                <w:szCs w:val="15"/>
                <w:b w:val="1"/>
                <w:bCs w:val="1"/>
                <w:color w:val="auto"/>
              </w:rPr>
              <w:t>Expiration Date</w:t>
            </w:r>
          </w:p>
        </w:tc>
      </w:tr>
      <w:tr>
        <w:trPr>
          <w:trHeight w:val="162"/>
        </w:trPr>
        <w:tc>
          <w:tcPr>
            <w:tcW w:w="1480" w:type="dxa"/>
            <w:vAlign w:val="bottom"/>
            <w:tcBorders>
              <w:top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334,314</w:t>
            </w:r>
          </w:p>
        </w:tc>
        <w:tc>
          <w:tcPr>
            <w:tcW w:w="340" w:type="dxa"/>
            <w:vAlign w:val="bottom"/>
          </w:tcPr>
          <w:p>
            <w:pPr>
              <w:spacing w:after="0"/>
              <w:rPr>
                <w:sz w:val="14"/>
                <w:szCs w:val="14"/>
                <w:color w:val="auto"/>
              </w:rPr>
            </w:pPr>
          </w:p>
        </w:tc>
        <w:tc>
          <w:tcPr>
            <w:tcW w:w="180" w:type="dxa"/>
            <w:vAlign w:val="bottom"/>
            <w:tcBorders>
              <w:top w:val="single" w:sz="8" w:color="auto"/>
            </w:tcBorders>
          </w:tcPr>
          <w:p>
            <w:pPr>
              <w:jc w:val="right"/>
              <w:ind w:right="2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1.50</w:t>
            </w:r>
          </w:p>
        </w:tc>
        <w:tc>
          <w:tcPr>
            <w:tcW w:w="320" w:type="dxa"/>
            <w:vAlign w:val="bottom"/>
          </w:tcPr>
          <w:p>
            <w:pPr>
              <w:spacing w:after="0"/>
              <w:rPr>
                <w:sz w:val="14"/>
                <w:szCs w:val="14"/>
                <w:color w:val="auto"/>
              </w:rPr>
            </w:pPr>
          </w:p>
        </w:tc>
        <w:tc>
          <w:tcPr>
            <w:tcW w:w="1560" w:type="dxa"/>
            <w:vAlign w:val="bottom"/>
            <w:tcBorders>
              <w:top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Liability</w:t>
            </w:r>
          </w:p>
        </w:tc>
        <w:tc>
          <w:tcPr>
            <w:tcW w:w="220" w:type="dxa"/>
            <w:vAlign w:val="bottom"/>
          </w:tcPr>
          <w:p>
            <w:pPr>
              <w:spacing w:after="0"/>
              <w:rPr>
                <w:sz w:val="14"/>
                <w:szCs w:val="14"/>
                <w:color w:val="auto"/>
              </w:rPr>
            </w:pPr>
          </w:p>
        </w:tc>
        <w:tc>
          <w:tcPr>
            <w:tcW w:w="1580" w:type="dxa"/>
            <w:vAlign w:val="bottom"/>
            <w:tcBorders>
              <w:top w:val="single" w:sz="8" w:color="auto"/>
            </w:tcBorders>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August 24, 2028</w:t>
            </w:r>
          </w:p>
        </w:tc>
        <w:tc>
          <w:tcPr>
            <w:tcW w:w="20" w:type="dxa"/>
            <w:vAlign w:val="bottom"/>
          </w:tcPr>
          <w:p>
            <w:pPr>
              <w:spacing w:after="0"/>
              <w:rPr>
                <w:sz w:val="14"/>
                <w:szCs w:val="14"/>
                <w:color w:val="auto"/>
              </w:rPr>
            </w:pPr>
          </w:p>
        </w:tc>
      </w:tr>
      <w:tr>
        <w:trPr>
          <w:trHeight w:val="185"/>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1,405,470</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.84</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Liability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November 24,</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2028</w:t>
            </w:r>
          </w:p>
        </w:tc>
        <w:tc>
          <w:tcPr>
            <w:tcW w:w="20" w:type="dxa"/>
            <w:vAlign w:val="bottom"/>
          </w:tcPr>
          <w:p>
            <w:pPr>
              <w:spacing w:after="0"/>
              <w:rPr>
                <w:sz w:val="16"/>
                <w:szCs w:val="16"/>
                <w:color w:val="auto"/>
              </w:rPr>
            </w:pPr>
          </w:p>
        </w:tc>
      </w:tr>
      <w:tr>
        <w:trPr>
          <w:trHeight w:val="211"/>
        </w:trPr>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120,000</w:t>
            </w: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6.25</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Equity</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November 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2025</w:t>
            </w:r>
          </w:p>
        </w:tc>
      </w:tr>
      <w:tr>
        <w:trPr>
          <w:trHeight w:val="188"/>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1,859,784</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-519430</wp:posOffset>
            </wp:positionV>
            <wp:extent cx="7152005" cy="124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2005" cy="1244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-278130</wp:posOffset>
            </wp:positionV>
            <wp:extent cx="7152005" cy="124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2005" cy="12446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560" w:space="720"/>
            <w:col w:w="6980"/>
          </w:cols>
          <w:pgMar w:left="320" w:top="58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On November 10, 2022, the Company’s board of directors authorized a share repurchase program under which the Company may repurchase up to $5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No treasury stock was sold during the three months ended March 31, 2025 and 2024. As of March 31, 2025 and December 31, 2024,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Earnings (loss) Per Share</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Earnings (loss) per share (“EPS”) is calculated by dividing the net income (loss) that is applicable to the common stockholders for the period by the weighted average number of shares of common stock during that period. The computation of diluted EPS for the period assumes the potential dilutive effect of potential common shares, which includes common shares, consisting of (a) unvested restricted stock units and warrants using the treasury stock method, and (b) convertible debt using the if-converted method. The Company issues two classes of common stock with differing voting rights, and as such, reports EPS using the dual class method. For more information see Note 15 –</w:t>
      </w:r>
      <w:r>
        <w:rPr>
          <w:rFonts w:ascii="Times New Roman" w:cs="Times New Roman" w:eastAsia="Times New Roman" w:hAnsi="Times New Roman"/>
          <w:sz w:val="15"/>
          <w:szCs w:val="15"/>
          <w:i w:val="1"/>
          <w:iCs w:val="1"/>
          <w:color w:val="auto"/>
        </w:rPr>
        <w:t>Loss Per Share.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 Restrictions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ability to pay cash dividends is currently restricted by the terms of our credit facilities.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 REVENUE FROM CONTRACTS WITH CUSTOMERS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Disaggregation of revenue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Timing of recognition</w:t>
      </w:r>
    </w:p>
    <w:p>
      <w:pPr>
        <w:spacing w:after="0" w:line="20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The Company recognizes revenue at a point in time for performance obligations that are met at the time of sale or at the time of a release. The Company recognizes revenue over a period based on the estimated service period of the product and additional performance obligations met over time for technical support. Net revenue by timing of recognition during the three months ended March 31, 2025 and 2024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Over time</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1,817,808</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2,535,834</w:t>
            </w:r>
          </w:p>
        </w:tc>
        <w:tc>
          <w:tcPr>
            <w:tcW w:w="100" w:type="dxa"/>
            <w:vAlign w:val="bottom"/>
            <w:shd w:val="clear" w:color="auto" w:fill="CCEEFF"/>
          </w:tcPr>
          <w:p>
            <w:pPr>
              <w:spacing w:after="0"/>
              <w:rPr>
                <w:sz w:val="15"/>
                <w:szCs w:val="15"/>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Point in time</w:t>
            </w:r>
          </w:p>
        </w:tc>
        <w:tc>
          <w:tcPr>
            <w:tcW w:w="11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18,293,064</w:t>
            </w:r>
          </w:p>
        </w:tc>
        <w:tc>
          <w:tcPr>
            <w:tcW w:w="44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11,579,895</w:t>
            </w:r>
          </w:p>
        </w:tc>
      </w:tr>
      <w:tr>
        <w:trPr>
          <w:trHeight w:val="188"/>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20,110,872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14,115,729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Geography</w:t>
      </w:r>
    </w:p>
    <w:p>
      <w:pPr>
        <w:spacing w:after="0" w:line="2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The Company attributes net revenue to geographic regions based on customer location. Net revenue by geographic region for the three months ended March 31, 2025 and 2024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17,301,686</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11,898,607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11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2,809,186</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2,217,122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20,110,872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14,115,729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Platform</w:t>
            </w: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9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Net revenue by platform for the three months ended March 31, 2025 and 2024 were as follows:</w:t>
            </w: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9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Console</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8,305,578</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6,002,817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PC</w:t>
            </w: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9,008,138</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5,104,723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Mobile</w:t>
            </w:r>
          </w:p>
        </w:tc>
        <w:tc>
          <w:tcPr>
            <w:tcW w:w="1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2,347,233</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962,941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1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449,923</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2,045,248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20,110,872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14,115,729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net revenues through our current period top four platform providers as a proportion of our total net revenue for the three months ended March 31, 2025 and 2024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6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Platform 1</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8,762,894</w:t>
            </w:r>
          </w:p>
        </w:tc>
        <w:tc>
          <w:tcPr>
            <w:tcW w:w="44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4,989,586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Platform 2</w:t>
            </w: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2,735,268</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2,072,190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Platform 3</w:t>
            </w:r>
          </w:p>
        </w:tc>
        <w:tc>
          <w:tcPr>
            <w:tcW w:w="1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5,173,560</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3,387,104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Platform 4</w:t>
            </w: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395,596</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542,882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All Other Revenue</w:t>
            </w:r>
          </w:p>
        </w:tc>
        <w:tc>
          <w:tcPr>
            <w:tcW w:w="1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3,043,554</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3,123,967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118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20,110,872</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14,115,729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Distribution channel</w:t>
      </w:r>
    </w:p>
    <w:p>
      <w:pPr>
        <w:spacing w:after="0" w:line="2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Our products are delivered through digital online services (digital download, online platforms, and cloud streaming), mobile, and retail distribution and other. Net revenue by distribution channel for the three months ended March 31, 2025 and 2024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Digital</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17,313,716</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11,107,540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Mobile</w:t>
            </w: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2,347,233</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962,941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Physical retail and other</w:t>
            </w:r>
          </w:p>
        </w:tc>
        <w:tc>
          <w:tcPr>
            <w:tcW w:w="1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449,923</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2,045,248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118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20,110,872</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14,115,729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Revenues</w:t>
      </w:r>
    </w:p>
    <w:p>
      <w:pPr>
        <w:spacing w:after="0" w:line="20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As discussed in Note 14, the Company recognized the $1.2 million payment related to the Angela Games settlement upon satisfaction of performance obligations included in the contract. This amount is included in other revenues for the three months ended March 31, 2024.</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835"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Deferred Revenue</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Company records deferred revenue when payments are due or received in advance of the fulfilment of our associated performance obligations; reductions to deferred revenue balance were primarily due to the recognition of revenue upon fulfilment of its performance obligations, which were in the ordinary course of business. As of March 31, 2025, the balance of deferred revenue was $27.6 million, of which $26.5 million is due to non-refundable payments. The Company is expecting to recognize $20.0 million of the non-refundable payments in the next 12 to 60 months through the platform releases of certain DLCs. The remaining $3.9 million of current non-refundable deferred revenues and $2.6 million of long term non-refundable deferred revenue will be recognized as revenue primarily on a straight-line basis over the next 60 months, based on our estimates of technical support obligations, the usage of consumable virtual goods and estimated period of time an end user will play the game. The Company’s refundable deferred revenue consists of $1.1 million in advance payments received in accordance with the agreement the Company has made with its retail distributor. Activities in the Company’s deferred revenue as of March 31, 2025 and 2024 were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 beginning balance in advance of revenue recognition billing</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25,467,447</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34,316,706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Revenue recognized</w:t>
            </w:r>
          </w:p>
        </w:tc>
        <w:tc>
          <w:tcPr>
            <w:tcW w:w="1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(1,278,631)</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(2,535,834)</w:t>
            </w: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deferred</w:t>
            </w:r>
          </w:p>
        </w:tc>
        <w:tc>
          <w:tcPr>
            <w:tcW w:w="1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3,416,657</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7,259,296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ending balance</w:t>
            </w: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27,605,473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39,040,168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current portion</w:t>
            </w:r>
          </w:p>
        </w:tc>
        <w:tc>
          <w:tcPr>
            <w:tcW w:w="1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(3,864,474)</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(21,937,421)</w:t>
            </w:r>
          </w:p>
        </w:tc>
      </w:tr>
      <w:tr>
        <w:trPr>
          <w:trHeight w:val="188"/>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long term</w:t>
            </w:r>
          </w:p>
        </w:tc>
        <w:tc>
          <w:tcPr>
            <w:tcW w:w="118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23,740,999</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17,102,747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 – CASH AND CASH EQUIVALENTS, AND RESTRICTED CASH AND CASH EQUIVALENTS</w:t>
      </w:r>
    </w:p>
    <w:p>
      <w:pPr>
        <w:spacing w:after="0" w:line="2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Cash equivalents are valued using quoted market prices or other readily available market information. The Company has restricted cash and cash equivalents of $935,000 as of March 31, 2025 and December 31, 2024. The amounts of restricted cash and cash equivalents held as of March 31, 2025, are to secure the standby letter of credit with landlords. The following table summarizes the components of the Company’s cash and cash equivalents, and restricted cash and cash equivalents as of March 31, 2025 and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9,359,116</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16,068,729</w:t>
            </w:r>
          </w:p>
        </w:tc>
        <w:tc>
          <w:tcPr>
            <w:tcW w:w="100" w:type="dxa"/>
            <w:vAlign w:val="bottom"/>
            <w:shd w:val="clear" w:color="auto" w:fill="CCEEFF"/>
          </w:tcPr>
          <w:p>
            <w:pPr>
              <w:spacing w:after="0"/>
              <w:rPr>
                <w:sz w:val="15"/>
                <w:szCs w:val="15"/>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 and cash equivalents</w:t>
            </w:r>
          </w:p>
        </w:tc>
        <w:tc>
          <w:tcPr>
            <w:tcW w:w="11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935,000</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1,117,310</w:t>
            </w:r>
          </w:p>
        </w:tc>
        <w:tc>
          <w:tcPr>
            <w:tcW w:w="100" w:type="dxa"/>
            <w:vAlign w:val="bottom"/>
          </w:tcPr>
          <w:p>
            <w:pPr>
              <w:spacing w:after="0"/>
              <w:rPr>
                <w:sz w:val="17"/>
                <w:szCs w:val="17"/>
                <w:color w:val="auto"/>
              </w:rPr>
            </w:pPr>
          </w:p>
        </w:tc>
      </w:tr>
      <w:tr>
        <w:trPr>
          <w:trHeight w:val="188"/>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and restricted cash and cash equivalents</w:t>
            </w: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10,294,116</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17,186,039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 – ACCOUNTS RECEIVABLE (PAYABLE) – RELATED PARTY</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100% owned and controlled by the wife of the Founder, Co-Chief Executive Officer, Chief Strategy Officer and Chairman of the Company. In January 2024, the Company entered into an offset agreement with SDE. The Company has the right to offset payables due to the related party for royalties, internet, server, and datacenter costs (“IDC”) and marketing costs as they are determinable, mutual, and the right is enforceable by law. The Company will offset $0.5 million per month, or $6.0 million annually, beginning in January 2024, until the receivable has been collected or offset in full. To reflect the timing of the offset agreement, a portion of the SDE receivable is presented as a long-term asset. During the three months ended March 31, 2025 and 2024, the Company made cash payments to SDE in the amount of $9.4 million and $16.8 million, respectively, and anticipates continuing to make cash payments to SDE in future years. As of March 31, 2025 and December 31, 2024, the outstanding balance of net accounts receivable from related party was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350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r>
      <w:tr>
        <w:trPr>
          <w:trHeight w:val="17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23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6,000,592</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7,500,592</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payable – related party</w:t>
            </w: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(4,667,133)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(3,663,726)</w:t>
            </w:r>
          </w:p>
        </w:tc>
      </w:tr>
      <w:tr>
        <w:trPr>
          <w:trHeight w:val="17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accounts receivable - related party</w:t>
            </w:r>
          </w:p>
        </w:tc>
        <w:tc>
          <w:tcPr>
            <w:tcW w:w="23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1,333,459</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3,836,866</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receivable – related party, net of current portion</w:t>
            </w: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(592)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(1,500,592)</w:t>
            </w:r>
          </w:p>
        </w:tc>
      </w:tr>
      <w:tr>
        <w:trPr>
          <w:trHeight w:val="188"/>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accounts receivable - related party, current</w:t>
            </w:r>
          </w:p>
        </w:tc>
        <w:tc>
          <w:tcPr>
            <w:tcW w:w="23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1,332,867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2,336,274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46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2343"/>
              <w:spacing w:after="0"/>
              <w:rPr>
                <w:sz w:val="20"/>
                <w:szCs w:val="20"/>
                <w:color w:val="auto"/>
              </w:rPr>
            </w:pPr>
            <w:r>
              <w:rPr>
                <w:rFonts w:ascii="Times New Roman" w:cs="Times New Roman" w:eastAsia="Times New Roman" w:hAnsi="Times New Roman"/>
                <w:sz w:val="15"/>
                <w:szCs w:val="15"/>
                <w:color w:val="auto"/>
              </w:rPr>
              <w:t>F-15</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83"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 – PREPAID EXPENSES - RELATED PARTY</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color w:val="auto"/>
        </w:rPr>
        <w:t xml:space="preserve">On March 10, 2023, the Company amended its exclusive software license agreement with SDE relating to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For DLC’s, the Company plans to release during the term of the agreement, the Company has the option to pay the $5.0 million DLC payment in whole or in part, when paid in advance; or in full, upon the DLC release. No payment for any DLC under this agreement will exceed $5.0 million.</w:t>
      </w:r>
    </w:p>
    <w:p>
      <w:pPr>
        <w:spacing w:after="0" w:line="1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color w:val="auto"/>
        </w:rPr>
        <w:t xml:space="preserve">During the three months ended March 31, 2025, the Company made $4.3 million in prepaid royalty payments related to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have not yet been released. During the year ended December 31, 2024, the Company made $1.7 million in prepaid royalty payments related to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have not yet been released. Prepaid expenses — related party consisted of the following as of March 31, 2025 and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royalties</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4,907,669</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4,378,594</w:t>
            </w:r>
          </w:p>
        </w:tc>
        <w:tc>
          <w:tcPr>
            <w:tcW w:w="100" w:type="dxa"/>
            <w:vAlign w:val="bottom"/>
            <w:shd w:val="clear" w:color="auto" w:fill="CCEEFF"/>
          </w:tcPr>
          <w:p>
            <w:pPr>
              <w:spacing w:after="0"/>
              <w:rPr>
                <w:sz w:val="15"/>
                <w:szCs w:val="15"/>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Prepaid licenses</w:t>
            </w:r>
          </w:p>
        </w:tc>
        <w:tc>
          <w:tcPr>
            <w:tcW w:w="11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7,500,000</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7,500,000</w:t>
            </w:r>
          </w:p>
        </w:tc>
        <w:tc>
          <w:tcPr>
            <w:tcW w:w="100" w:type="dxa"/>
            <w:vAlign w:val="bottom"/>
          </w:tcPr>
          <w:p>
            <w:pPr>
              <w:spacing w:after="0"/>
              <w:rPr>
                <w:sz w:val="16"/>
                <w:szCs w:val="16"/>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prepaids</w:t>
            </w:r>
          </w:p>
        </w:tc>
        <w:tc>
          <w:tcPr>
            <w:tcW w:w="1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36,748</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21,291</w:t>
            </w:r>
          </w:p>
        </w:tc>
      </w:tr>
      <w:tr>
        <w:trPr>
          <w:trHeight w:val="17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 - related party, ending balance</w:t>
            </w: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12,444,417</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11,899,885</w:t>
            </w:r>
          </w:p>
        </w:tc>
        <w:tc>
          <w:tcPr>
            <w:tcW w:w="100" w:type="dxa"/>
            <w:vAlign w:val="bottom"/>
          </w:tcPr>
          <w:p>
            <w:pPr>
              <w:spacing w:after="0"/>
              <w:rPr>
                <w:sz w:val="15"/>
                <w:szCs w:val="15"/>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short-term portion</w:t>
            </w:r>
          </w:p>
        </w:tc>
        <w:tc>
          <w:tcPr>
            <w:tcW w:w="1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(2,536,748)</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(2,521,291)</w:t>
            </w:r>
          </w:p>
        </w:tc>
      </w:tr>
      <w:tr>
        <w:trPr>
          <w:trHeight w:val="188"/>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Total prepaid expenses - related party, long-term</w:t>
            </w:r>
          </w:p>
        </w:tc>
        <w:tc>
          <w:tcPr>
            <w:tcW w:w="118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9,907,669</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9,378,594</w:t>
            </w:r>
          </w:p>
        </w:tc>
        <w:tc>
          <w:tcPr>
            <w:tcW w:w="100" w:type="dxa"/>
            <w:vAlign w:val="bottom"/>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color w:val="auto"/>
        </w:rPr>
        <w:t xml:space="preserve">The amount classified as short-term, as of March 31, 2025, includes prepaid royalties for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have not yet been released and various operational software licenses obtained through SDE.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 – PREPAID EXPENSES AND OTHER CURRENT ASSETS</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October 2024, the Company entered into a collaborative arrangement for the development and publishing of a new title with a third party developer. In accordance with the agreement, the Company will pay $1.5 million to the developer as prepaid royalties, to be recovered prior to any profit sharing on sales of the title. In addition to the financial responsibilities, the Company is responsible for the marketing, publishing, and distribution of the game and is providing substantial creative and technical input in the development of the game. The developer will retain ownership of the IP and is responsible for the overall development of the game. The game has not yet been released and accordingly is not reflected in the condensed consolidated statements of operations and comprehensive loss. As of March 31, 2025, the Company made $0.5 million of the prepaid royalty payments, and the amount is capitalized in the other prepaids. Prepaid expenses and other current assets consisted of the following as of March 31,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402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r>
      <w:tr>
        <w:trPr>
          <w:trHeight w:val="17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receivables</w:t>
            </w:r>
          </w:p>
        </w:tc>
        <w:tc>
          <w:tcPr>
            <w:tcW w:w="28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262,194</w:t>
            </w:r>
          </w:p>
        </w:tc>
        <w:tc>
          <w:tcPr>
            <w:tcW w:w="3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549,103</w:t>
            </w:r>
          </w:p>
        </w:tc>
        <w:tc>
          <w:tcPr>
            <w:tcW w:w="100" w:type="dxa"/>
            <w:vAlign w:val="bottom"/>
            <w:tcBorders>
              <w:top w:val="single" w:sz="8" w:color="CCEEFF"/>
            </w:tcBorders>
            <w:shd w:val="clear" w:color="auto" w:fill="CCEEFF"/>
          </w:tcPr>
          <w:p>
            <w:pPr>
              <w:spacing w:after="0"/>
              <w:rPr>
                <w:sz w:val="15"/>
                <w:szCs w:val="15"/>
                <w:color w:val="auto"/>
              </w:rPr>
            </w:pPr>
          </w:p>
        </w:tc>
      </w:tr>
      <w:tr>
        <w:trPr>
          <w:trHeight w:val="185"/>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2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105,411</w:t>
            </w:r>
          </w:p>
        </w:tc>
        <w:tc>
          <w:tcPr>
            <w:tcW w:w="44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105,411</w:t>
            </w:r>
          </w:p>
        </w:tc>
      </w:tr>
      <w:tr>
        <w:trPr>
          <w:trHeight w:val="18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prepaids</w:t>
            </w:r>
          </w:p>
        </w:tc>
        <w:tc>
          <w:tcPr>
            <w:tcW w:w="28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633,948</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550,270</w:t>
            </w:r>
          </w:p>
        </w:tc>
        <w:tc>
          <w:tcPr>
            <w:tcW w:w="100" w:type="dxa"/>
            <w:vAlign w:val="bottom"/>
            <w:shd w:val="clear" w:color="auto" w:fill="CCEEFF"/>
          </w:tcPr>
          <w:p>
            <w:pPr>
              <w:spacing w:after="0"/>
              <w:rPr>
                <w:sz w:val="16"/>
                <w:szCs w:val="16"/>
                <w:color w:val="auto"/>
              </w:rPr>
            </w:pPr>
          </w:p>
        </w:tc>
      </w:tr>
      <w:tr>
        <w:trPr>
          <w:trHeight w:val="196"/>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2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466,509</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641,240</w:t>
            </w:r>
          </w:p>
        </w:tc>
        <w:tc>
          <w:tcPr>
            <w:tcW w:w="100" w:type="dxa"/>
            <w:vAlign w:val="bottom"/>
          </w:tcPr>
          <w:p>
            <w:pPr>
              <w:spacing w:after="0"/>
              <w:rPr>
                <w:sz w:val="17"/>
                <w:szCs w:val="17"/>
                <w:color w:val="auto"/>
              </w:rPr>
            </w:pPr>
          </w:p>
        </w:tc>
      </w:tr>
      <w:tr>
        <w:trPr>
          <w:trHeight w:val="188"/>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prepaid expenses and other current assets</w:t>
            </w:r>
          </w:p>
        </w:tc>
        <w:tc>
          <w:tcPr>
            <w:tcW w:w="28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1,468,062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1,846,024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4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jc w:val="right"/>
              <w:ind w:right="2363"/>
              <w:spacing w:after="0"/>
              <w:rPr>
                <w:sz w:val="20"/>
                <w:szCs w:val="20"/>
                <w:color w:val="auto"/>
              </w:rPr>
            </w:pPr>
            <w:r>
              <w:rPr>
                <w:rFonts w:ascii="Times New Roman" w:cs="Times New Roman" w:eastAsia="Times New Roman" w:hAnsi="Times New Roman"/>
                <w:sz w:val="15"/>
                <w:szCs w:val="15"/>
                <w:color w:val="auto"/>
              </w:rPr>
              <w:t>F-16</w:t>
            </w: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83"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8 – PROPERTY AND EQUIPMENT, NET</w:t>
            </w: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9"/>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 consisted of the following as of March 31, 2025 and December 31, 2024:</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1"/>
        </w:trPr>
        <w:tc>
          <w:tcPr>
            <w:tcW w:w="69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w:t>
            </w:r>
          </w:p>
        </w:tc>
        <w:tc>
          <w:tcPr>
            <w:tcW w:w="120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1,874,049</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1,874,049</w:t>
            </w:r>
          </w:p>
        </w:tc>
        <w:tc>
          <w:tcPr>
            <w:tcW w:w="100" w:type="dxa"/>
            <w:vAlign w:val="bottom"/>
            <w:shd w:val="clear" w:color="auto" w:fill="CCEEFF"/>
          </w:tcPr>
          <w:p>
            <w:pPr>
              <w:spacing w:after="0"/>
              <w:rPr>
                <w:sz w:val="15"/>
                <w:szCs w:val="15"/>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Land</w:t>
            </w:r>
          </w:p>
        </w:tc>
        <w:tc>
          <w:tcPr>
            <w:tcW w:w="120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2,700,000</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2,700,000</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 improvements</w:t>
            </w:r>
          </w:p>
        </w:tc>
        <w:tc>
          <w:tcPr>
            <w:tcW w:w="1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1,010,218</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1,010,218</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20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1,537,775</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1,537,775</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Autos and trucks</w:t>
            </w:r>
          </w:p>
        </w:tc>
        <w:tc>
          <w:tcPr>
            <w:tcW w:w="1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178,695</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178,695</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Computer and equipment</w:t>
            </w:r>
          </w:p>
        </w:tc>
        <w:tc>
          <w:tcPr>
            <w:tcW w:w="120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1,809,214</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1,809,214</w:t>
            </w:r>
          </w:p>
        </w:tc>
        <w:tc>
          <w:tcPr>
            <w:tcW w:w="100" w:type="dxa"/>
            <w:vAlign w:val="bottom"/>
          </w:tcPr>
          <w:p>
            <w:pPr>
              <w:spacing w:after="0"/>
              <w:rPr>
                <w:sz w:val="16"/>
                <w:szCs w:val="16"/>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1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411,801</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411,801</w:t>
            </w:r>
          </w:p>
        </w:tc>
      </w:tr>
      <w:tr>
        <w:trPr>
          <w:trHeight w:val="17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w:t>
            </w:r>
          </w:p>
        </w:tc>
        <w:tc>
          <w:tcPr>
            <w:tcW w:w="1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9,521,752</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9,521,752</w:t>
            </w:r>
          </w:p>
        </w:tc>
        <w:tc>
          <w:tcPr>
            <w:tcW w:w="100" w:type="dxa"/>
            <w:vAlign w:val="bottom"/>
          </w:tcPr>
          <w:p>
            <w:pPr>
              <w:spacing w:after="0"/>
              <w:rPr>
                <w:sz w:val="15"/>
                <w:szCs w:val="15"/>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depreciation</w:t>
            </w:r>
          </w:p>
        </w:tc>
        <w:tc>
          <w:tcPr>
            <w:tcW w:w="1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(5,211,304)</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(5,143,400)</w:t>
            </w:r>
          </w:p>
        </w:tc>
      </w:tr>
      <w:tr>
        <w:trPr>
          <w:trHeight w:val="188"/>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200" w:type="dxa"/>
            <w:vAlign w:val="bottom"/>
            <w:tcBorders>
              <w:top w:val="single" w:sz="8" w:color="auto"/>
              <w:bottom w:val="single" w:sz="8" w:color="auto"/>
            </w:tcBorders>
          </w:tcPr>
          <w:p>
            <w:pPr>
              <w:jc w:val="right"/>
              <w:ind w:right="104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4,310,448</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4,378,352</w:t>
            </w:r>
          </w:p>
        </w:tc>
        <w:tc>
          <w:tcPr>
            <w:tcW w:w="100" w:type="dxa"/>
            <w:vAlign w:val="bottom"/>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Depreciation expense was $67,904 and $82,338 for the three months ended March 31, 2025, and 2024, respectively. The Company did not have any disposals in the three months ended March 31, 2025 or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 – INTANGIBLE ASSETS</w:t>
      </w:r>
    </w:p>
    <w:p>
      <w:pPr>
        <w:spacing w:after="0" w:line="20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Intangible assets consist of game licenses, game software underlying intellectual property rights, internally developed software, game trademarks and other branding items. The Company amortizes the intangible assets over its useful life.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reflect all the intangible assets presented on the consolidated balance sheets as of March 31, 2025 and December 31,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663"/>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40"/>
              <w:spacing w:after="0" w:line="158" w:lineRule="exact"/>
              <w:rPr>
                <w:sz w:val="20"/>
                <w:szCs w:val="20"/>
                <w:color w:val="auto"/>
              </w:rPr>
            </w:pPr>
            <w:r>
              <w:rPr>
                <w:rFonts w:ascii="Times New Roman" w:cs="Times New Roman" w:eastAsia="Times New Roman" w:hAnsi="Times New Roman"/>
                <w:sz w:val="15"/>
                <w:szCs w:val="15"/>
                <w:b w:val="1"/>
                <w:bCs w:val="1"/>
                <w:color w:val="auto"/>
              </w:rPr>
              <w:t>Gross</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20" w:type="dxa"/>
            <w:vAlign w:val="bottom"/>
          </w:tcPr>
          <w:p>
            <w:pPr>
              <w:spacing w:after="0"/>
              <w:rPr>
                <w:sz w:val="17"/>
                <w:szCs w:val="17"/>
                <w:color w:val="auto"/>
              </w:rPr>
            </w:pPr>
          </w:p>
        </w:tc>
        <w:tc>
          <w:tcPr>
            <w:tcW w:w="1460" w:type="dxa"/>
            <w:vAlign w:val="bottom"/>
            <w:gridSpan w:val="2"/>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60" w:type="dxa"/>
            <w:vAlign w:val="bottom"/>
          </w:tcPr>
          <w:p>
            <w:pPr>
              <w:jc w:val="center"/>
              <w:ind w:left="143"/>
              <w:spacing w:after="0"/>
              <w:rPr>
                <w:sz w:val="20"/>
                <w:szCs w:val="20"/>
                <w:color w:val="auto"/>
              </w:rPr>
            </w:pPr>
            <w:r>
              <w:rPr>
                <w:rFonts w:ascii="Times New Roman" w:cs="Times New Roman" w:eastAsia="Times New Roman" w:hAnsi="Times New Roman"/>
                <w:sz w:val="15"/>
                <w:szCs w:val="15"/>
                <w:b w:val="1"/>
                <w:bCs w:val="1"/>
                <w:color w:val="auto"/>
              </w:rPr>
              <w:t>Impairment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Net Book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460" w:type="dxa"/>
            <w:vAlign w:val="bottom"/>
            <w:gridSpan w:val="2"/>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0" w:type="dxa"/>
            <w:vAlign w:val="bottom"/>
          </w:tcPr>
          <w:p>
            <w:pPr>
              <w:spacing w:after="0"/>
              <w:rPr>
                <w:sz w:val="1"/>
                <w:szCs w:val="1"/>
                <w:color w:val="auto"/>
              </w:rPr>
            </w:pPr>
          </w:p>
        </w:tc>
      </w:tr>
      <w:tr>
        <w:trPr>
          <w:trHeight w:val="17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and license rights from related parties</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136,665,000</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(136,665,000)</w:t>
            </w:r>
          </w:p>
        </w:tc>
        <w:tc>
          <w:tcPr>
            <w:tcW w:w="3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License rights</w:t>
            </w:r>
          </w:p>
        </w:tc>
        <w:tc>
          <w:tcPr>
            <w:tcW w:w="200" w:type="dxa"/>
            <w:vAlign w:val="bottom"/>
          </w:tcPr>
          <w:p>
            <w:pPr>
              <w:spacing w:after="0"/>
              <w:rPr>
                <w:sz w:val="16"/>
                <w:szCs w:val="16"/>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4,416,566</w:t>
            </w:r>
          </w:p>
        </w:tc>
        <w:tc>
          <w:tcPr>
            <w:tcW w:w="120" w:type="dxa"/>
            <w:vAlign w:val="bottom"/>
          </w:tcPr>
          <w:p>
            <w:pPr>
              <w:spacing w:after="0"/>
              <w:rPr>
                <w:sz w:val="16"/>
                <w:szCs w:val="16"/>
                <w:color w:val="auto"/>
              </w:rPr>
            </w:pPr>
          </w:p>
        </w:tc>
        <w:tc>
          <w:tcPr>
            <w:tcW w:w="146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(3,028,000)</w:t>
            </w:r>
          </w:p>
        </w:tc>
        <w:tc>
          <w:tcPr>
            <w:tcW w:w="1060" w:type="dxa"/>
            <w:vAlign w:val="bottom"/>
          </w:tcPr>
          <w:p>
            <w:pPr>
              <w:spacing w:after="0"/>
              <w:rPr>
                <w:sz w:val="16"/>
                <w:szCs w:val="16"/>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1,388,566</w:t>
            </w:r>
          </w:p>
        </w:tc>
        <w:tc>
          <w:tcPr>
            <w:tcW w:w="3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 years</w:t>
            </w: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565,961</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(66,284)</w:t>
            </w:r>
          </w:p>
        </w:tc>
        <w:tc>
          <w:tcPr>
            <w:tcW w:w="10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499,677</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Trademark</w:t>
            </w:r>
          </w:p>
        </w:tc>
        <w:tc>
          <w:tcPr>
            <w:tcW w:w="200" w:type="dxa"/>
            <w:vAlign w:val="bottom"/>
          </w:tcPr>
          <w:p>
            <w:pPr>
              <w:spacing w:after="0"/>
              <w:rPr>
                <w:sz w:val="16"/>
                <w:szCs w:val="16"/>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10,745</w:t>
            </w:r>
          </w:p>
        </w:tc>
        <w:tc>
          <w:tcPr>
            <w:tcW w:w="120" w:type="dxa"/>
            <w:vAlign w:val="bottom"/>
          </w:tcPr>
          <w:p>
            <w:pPr>
              <w:spacing w:after="0"/>
              <w:rPr>
                <w:sz w:val="16"/>
                <w:szCs w:val="16"/>
                <w:color w:val="auto"/>
              </w:rPr>
            </w:pPr>
          </w:p>
        </w:tc>
        <w:tc>
          <w:tcPr>
            <w:tcW w:w="146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(10,733)</w:t>
            </w:r>
          </w:p>
        </w:tc>
        <w:tc>
          <w:tcPr>
            <w:tcW w:w="1060" w:type="dxa"/>
            <w:vAlign w:val="bottom"/>
          </w:tcPr>
          <w:p>
            <w:pPr>
              <w:spacing w:after="0"/>
              <w:rPr>
                <w:sz w:val="16"/>
                <w:szCs w:val="16"/>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w:t>
            </w:r>
          </w:p>
        </w:tc>
        <w:tc>
          <w:tcPr>
            <w:tcW w:w="3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 years</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In-progress patent</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270,886</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270,886</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141,929,158</w:t>
            </w:r>
          </w:p>
        </w:tc>
        <w:tc>
          <w:tcPr>
            <w:tcW w:w="3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(139,770,017</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2,159,141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40"/>
              <w:spacing w:after="0" w:line="158" w:lineRule="exact"/>
              <w:rPr>
                <w:sz w:val="20"/>
                <w:szCs w:val="20"/>
                <w:color w:val="auto"/>
              </w:rPr>
            </w:pPr>
            <w:r>
              <w:rPr>
                <w:rFonts w:ascii="Times New Roman" w:cs="Times New Roman" w:eastAsia="Times New Roman" w:hAnsi="Times New Roman"/>
                <w:sz w:val="15"/>
                <w:szCs w:val="15"/>
                <w:b w:val="1"/>
                <w:bCs w:val="1"/>
                <w:color w:val="auto"/>
              </w:rPr>
              <w:t>Gross</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20" w:type="dxa"/>
            <w:vAlign w:val="bottom"/>
          </w:tcPr>
          <w:p>
            <w:pPr>
              <w:spacing w:after="0"/>
              <w:rPr>
                <w:sz w:val="17"/>
                <w:szCs w:val="17"/>
                <w:color w:val="auto"/>
              </w:rPr>
            </w:pPr>
          </w:p>
        </w:tc>
        <w:tc>
          <w:tcPr>
            <w:tcW w:w="1460" w:type="dxa"/>
            <w:vAlign w:val="bottom"/>
            <w:gridSpan w:val="2"/>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60" w:type="dxa"/>
            <w:vAlign w:val="bottom"/>
          </w:tcPr>
          <w:p>
            <w:pPr>
              <w:jc w:val="center"/>
              <w:ind w:left="143"/>
              <w:spacing w:after="0"/>
              <w:rPr>
                <w:sz w:val="20"/>
                <w:szCs w:val="20"/>
                <w:color w:val="auto"/>
              </w:rPr>
            </w:pPr>
            <w:r>
              <w:rPr>
                <w:rFonts w:ascii="Times New Roman" w:cs="Times New Roman" w:eastAsia="Times New Roman" w:hAnsi="Times New Roman"/>
                <w:sz w:val="15"/>
                <w:szCs w:val="15"/>
                <w:b w:val="1"/>
                <w:bCs w:val="1"/>
                <w:color w:val="auto"/>
              </w:rPr>
              <w:t>Impairment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Net Book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460" w:type="dxa"/>
            <w:vAlign w:val="bottom"/>
            <w:gridSpan w:val="2"/>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0" w:type="dxa"/>
            <w:vAlign w:val="bottom"/>
          </w:tcPr>
          <w:p>
            <w:pPr>
              <w:spacing w:after="0"/>
              <w:rPr>
                <w:sz w:val="1"/>
                <w:szCs w:val="1"/>
                <w:color w:val="auto"/>
              </w:rPr>
            </w:pPr>
          </w:p>
        </w:tc>
      </w:tr>
      <w:tr>
        <w:trPr>
          <w:trHeight w:val="17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and license rights from related parties</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136,955,000</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(136,665,000)</w:t>
            </w:r>
          </w:p>
        </w:tc>
        <w:tc>
          <w:tcPr>
            <w:tcW w:w="3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290,000</w:t>
            </w: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License rights</w:t>
            </w:r>
          </w:p>
        </w:tc>
        <w:tc>
          <w:tcPr>
            <w:tcW w:w="200" w:type="dxa"/>
            <w:vAlign w:val="bottom"/>
          </w:tcPr>
          <w:p>
            <w:pPr>
              <w:spacing w:after="0"/>
              <w:rPr>
                <w:sz w:val="16"/>
                <w:szCs w:val="16"/>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3,420,000</w:t>
            </w:r>
          </w:p>
        </w:tc>
        <w:tc>
          <w:tcPr>
            <w:tcW w:w="120" w:type="dxa"/>
            <w:vAlign w:val="bottom"/>
          </w:tcPr>
          <w:p>
            <w:pPr>
              <w:spacing w:after="0"/>
              <w:rPr>
                <w:sz w:val="16"/>
                <w:szCs w:val="16"/>
                <w:color w:val="auto"/>
              </w:rPr>
            </w:pPr>
          </w:p>
        </w:tc>
        <w:tc>
          <w:tcPr>
            <w:tcW w:w="146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(3,007,000)</w:t>
            </w:r>
          </w:p>
        </w:tc>
        <w:tc>
          <w:tcPr>
            <w:tcW w:w="1060" w:type="dxa"/>
            <w:vAlign w:val="bottom"/>
          </w:tcPr>
          <w:p>
            <w:pPr>
              <w:spacing w:after="0"/>
              <w:rPr>
                <w:sz w:val="16"/>
                <w:szCs w:val="16"/>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413,000</w:t>
            </w:r>
          </w:p>
        </w:tc>
        <w:tc>
          <w:tcPr>
            <w:tcW w:w="3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 years</w:t>
            </w: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51,784</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(51,784)</w:t>
            </w:r>
          </w:p>
        </w:tc>
        <w:tc>
          <w:tcPr>
            <w:tcW w:w="10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Trademark</w:t>
            </w:r>
          </w:p>
        </w:tc>
        <w:tc>
          <w:tcPr>
            <w:tcW w:w="200" w:type="dxa"/>
            <w:vAlign w:val="bottom"/>
          </w:tcPr>
          <w:p>
            <w:pPr>
              <w:spacing w:after="0"/>
              <w:rPr>
                <w:sz w:val="16"/>
                <w:szCs w:val="16"/>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10,745</w:t>
            </w:r>
          </w:p>
        </w:tc>
        <w:tc>
          <w:tcPr>
            <w:tcW w:w="120" w:type="dxa"/>
            <w:vAlign w:val="bottom"/>
          </w:tcPr>
          <w:p>
            <w:pPr>
              <w:spacing w:after="0"/>
              <w:rPr>
                <w:sz w:val="16"/>
                <w:szCs w:val="16"/>
                <w:color w:val="auto"/>
              </w:rPr>
            </w:pPr>
          </w:p>
        </w:tc>
        <w:tc>
          <w:tcPr>
            <w:tcW w:w="146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(10,717)</w:t>
            </w:r>
          </w:p>
        </w:tc>
        <w:tc>
          <w:tcPr>
            <w:tcW w:w="1060" w:type="dxa"/>
            <w:vAlign w:val="bottom"/>
          </w:tcPr>
          <w:p>
            <w:pPr>
              <w:spacing w:after="0"/>
              <w:rPr>
                <w:sz w:val="16"/>
                <w:szCs w:val="16"/>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28</w:t>
            </w:r>
          </w:p>
        </w:tc>
        <w:tc>
          <w:tcPr>
            <w:tcW w:w="3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 years</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In-progress patent</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270,886</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270,886</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140,708,415</w:t>
            </w:r>
          </w:p>
        </w:tc>
        <w:tc>
          <w:tcPr>
            <w:tcW w:w="3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(139,734,501</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973,914</w:t>
            </w:r>
          </w:p>
        </w:tc>
        <w:tc>
          <w:tcPr>
            <w:tcW w:w="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Amortization expense was $35,516 and $200 for the three months ended March 31, 2025 and 2024, respectively. These amounts are included in cost of revenues in the accompanying consolidated statements of operations and comprehensive loss. The weighted average remaining useful life for which amortization expense will be recognized is 3.8 years as of March 31, 2025. The Company has capitalized $1.2 million in development costs for titles that have reached technological feasibility but have not yet launched, and as such, are included in the thereafter amount in the table below. Future amortization expense of intangible assets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7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2025</w:t>
            </w:r>
          </w:p>
        </w:tc>
        <w:tc>
          <w:tcPr>
            <w:tcW w:w="5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106,511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5"/>
        </w:trPr>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142,000</w:t>
            </w:r>
          </w:p>
        </w:tc>
        <w:tc>
          <w:tcPr>
            <w:tcW w:w="100" w:type="dxa"/>
            <w:vAlign w:val="bottom"/>
          </w:tcPr>
          <w:p>
            <w:pPr>
              <w:spacing w:after="0"/>
              <w:rPr>
                <w:sz w:val="16"/>
                <w:szCs w:val="16"/>
                <w:color w:val="auto"/>
              </w:rPr>
            </w:pPr>
          </w:p>
        </w:tc>
      </w:tr>
      <w:tr>
        <w:trPr>
          <w:trHeight w:val="18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5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142,000</w:t>
            </w:r>
          </w:p>
        </w:tc>
        <w:tc>
          <w:tcPr>
            <w:tcW w:w="100" w:type="dxa"/>
            <w:vAlign w:val="bottom"/>
            <w:shd w:val="clear" w:color="auto" w:fill="CCEEFF"/>
          </w:tcPr>
          <w:p>
            <w:pPr>
              <w:spacing w:after="0"/>
              <w:rPr>
                <w:sz w:val="16"/>
                <w:szCs w:val="16"/>
                <w:color w:val="auto"/>
              </w:rPr>
            </w:pPr>
          </w:p>
        </w:tc>
      </w:tr>
      <w:tr>
        <w:trPr>
          <w:trHeight w:val="185"/>
        </w:trPr>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142,000</w:t>
            </w:r>
          </w:p>
        </w:tc>
        <w:tc>
          <w:tcPr>
            <w:tcW w:w="100" w:type="dxa"/>
            <w:vAlign w:val="bottom"/>
          </w:tcPr>
          <w:p>
            <w:pPr>
              <w:spacing w:after="0"/>
              <w:rPr>
                <w:sz w:val="16"/>
                <w:szCs w:val="16"/>
                <w:color w:val="auto"/>
              </w:rPr>
            </w:pPr>
          </w:p>
        </w:tc>
      </w:tr>
      <w:tr>
        <w:trPr>
          <w:trHeight w:val="18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5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100" w:type="dxa"/>
            <w:vAlign w:val="bottom"/>
            <w:shd w:val="clear" w:color="auto" w:fill="CCEEFF"/>
          </w:tcPr>
          <w:p>
            <w:pPr>
              <w:spacing w:after="0"/>
              <w:rPr>
                <w:sz w:val="16"/>
                <w:szCs w:val="16"/>
                <w:color w:val="auto"/>
              </w:rPr>
            </w:pPr>
          </w:p>
        </w:tc>
      </w:tr>
      <w:tr>
        <w:trPr>
          <w:trHeight w:val="196"/>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53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1,491,630</w:t>
            </w:r>
          </w:p>
        </w:tc>
        <w:tc>
          <w:tcPr>
            <w:tcW w:w="100" w:type="dxa"/>
            <w:vAlign w:val="bottom"/>
            <w:tcBorders>
              <w:bottom w:val="single" w:sz="8" w:color="CCEEFF"/>
            </w:tcBorders>
          </w:tcPr>
          <w:p>
            <w:pPr>
              <w:spacing w:after="0"/>
              <w:rPr>
                <w:sz w:val="17"/>
                <w:szCs w:val="17"/>
                <w:color w:val="auto"/>
              </w:rPr>
            </w:pPr>
          </w:p>
        </w:tc>
      </w:tr>
      <w:tr>
        <w:trPr>
          <w:trHeight w:val="188"/>
        </w:trPr>
        <w:tc>
          <w:tcPr>
            <w:tcW w:w="3620" w:type="dxa"/>
            <w:vAlign w:val="bottom"/>
            <w:tcBorders>
              <w:bottom w:val="single" w:sz="8" w:color="CCEEFF"/>
            </w:tcBorders>
            <w:shd w:val="clear" w:color="auto" w:fill="CCEEFF"/>
          </w:tcPr>
          <w:p>
            <w:pPr>
              <w:spacing w:after="0"/>
              <w:rPr>
                <w:sz w:val="16"/>
                <w:szCs w:val="16"/>
                <w:color w:val="auto"/>
              </w:rPr>
            </w:pPr>
          </w:p>
        </w:tc>
        <w:tc>
          <w:tcPr>
            <w:tcW w:w="53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2,159,141</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36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36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3"/>
          </w:tcPr>
          <w:p>
            <w:pPr>
              <w:jc w:val="right"/>
              <w:ind w:right="3783"/>
              <w:spacing w:after="0"/>
              <w:rPr>
                <w:sz w:val="20"/>
                <w:szCs w:val="20"/>
                <w:color w:val="auto"/>
              </w:rPr>
            </w:pPr>
            <w:r>
              <w:rPr>
                <w:rFonts w:ascii="Times New Roman" w:cs="Times New Roman" w:eastAsia="Times New Roman" w:hAnsi="Times New Roman"/>
                <w:sz w:val="15"/>
                <w:szCs w:val="15"/>
                <w:color w:val="auto"/>
              </w:rPr>
              <w:t>F-17</w:t>
            </w: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83"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 – ACCOUNTS PAYABLE — RELATED PARTY</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Accounts payable due to related parties represents payables in the ordinary course of business primarily for purchases of game distribution licenses, research and development costs and also the royalties due to Suzhou Snail. In July 2024, the Company entered into another software development, publishing and distribution agreement with Suzhou Snail. Under the terms of the agreements Suzhou Snail will develop a game for distribution by the Company and the Company will make $4.5 million in milestone payments during the development of the game and an ongoing royalty on sales of the game. The Company made $0.5 million in milestone payments under the July contract, in 2025. In December 2024, the Company entered into an agreement with Suzhou Snail for the development of an application to deliver short film content to end users. In accordance with the agreement Suzhou Snail will develop the app for release and will receive $290,000 as a development fee. As of March 31, 2025 and December 31, 2024, the development fee has been capitalized as an intangible asset in the Company’s condensed consolidated balance sheets.</w:t>
      </w:r>
    </w:p>
    <w:p>
      <w:pPr>
        <w:spacing w:after="0" w:line="1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 xml:space="preserve">In January 2025, the Company extended its outsource agreement with Suzhou Snail for the research and development of </w:t>
      </w:r>
      <w:r>
        <w:rPr>
          <w:rFonts w:ascii="Times New Roman" w:cs="Times New Roman" w:eastAsia="Times New Roman" w:hAnsi="Times New Roman"/>
          <w:sz w:val="15"/>
          <w:szCs w:val="15"/>
          <w:i w:val="1"/>
          <w:iCs w:val="1"/>
          <w:color w:val="auto"/>
        </w:rPr>
        <w:t>For the Stars</w:t>
      </w:r>
      <w:r>
        <w:rPr>
          <w:rFonts w:ascii="Times New Roman" w:cs="Times New Roman" w:eastAsia="Times New Roman" w:hAnsi="Times New Roman"/>
          <w:sz w:val="15"/>
          <w:szCs w:val="15"/>
          <w:color w:val="auto"/>
        </w:rPr>
        <w:t>. In consideration, the Company will pay Suzhou Snail twelve equal monthly payments of $340,600, beginning on January 1, 2025. During the three months ended March 31, 2025 and 2024, the Company incurred $35,829 and $47,105, respectively as license costs due to Suzhou Snail that are included in cost of revenues. During the three months ended March 31, 2025 and 2024, respectively, the Company incurred $1,521,800 and $759,000 of research and development costs from Suzhou Snail; and made $1,724,200 and $1,575,000 in payments to Suzhou Snail for royalties and research and development costs. The royalty payments are included in costs of revenues and research and development costs are included in operating expenses in the consolidated statements of operations and comprehensive loss or intangible assets, net in the condensed consolidated balance sheets. Accounts payable – related party consisted of the following as of March 31, 2025 and December 31,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 - Suzhou</w:t>
            </w:r>
          </w:p>
        </w:tc>
        <w:tc>
          <w:tcPr>
            <w:tcW w:w="116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53,331,513</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52,998,084</w:t>
            </w:r>
          </w:p>
        </w:tc>
        <w:tc>
          <w:tcPr>
            <w:tcW w:w="100" w:type="dxa"/>
            <w:vAlign w:val="bottom"/>
            <w:shd w:val="clear" w:color="auto" w:fill="CCEEFF"/>
          </w:tcPr>
          <w:p>
            <w:pPr>
              <w:spacing w:after="0"/>
              <w:rPr>
                <w:sz w:val="15"/>
                <w:szCs w:val="15"/>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receivable - Suzhou</w:t>
            </w:r>
          </w:p>
        </w:tc>
        <w:tc>
          <w:tcPr>
            <w:tcW w:w="1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(37,614,913)</w:t>
            </w:r>
          </w:p>
        </w:tc>
        <w:tc>
          <w:tcPr>
            <w:tcW w:w="44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(37,614,913)</w:t>
            </w:r>
          </w:p>
        </w:tc>
      </w:tr>
      <w:tr>
        <w:trPr>
          <w:trHeight w:val="188"/>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accounts payable – related party</w:t>
            </w:r>
          </w:p>
        </w:tc>
        <w:tc>
          <w:tcPr>
            <w:tcW w:w="1160" w:type="dxa"/>
            <w:vAlign w:val="bottom"/>
            <w:tcBorders>
              <w:top w:val="single" w:sz="8" w:color="auto"/>
              <w:bottom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15,716,600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15,383,171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11 – LOAN AND INTEREST RECEIVABLE — RELATED PARTY</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In February 2021, the Company loaned $200,000 to a wholly owned subsidiary of Suzhou Snail. The loan bears 2.0% per annum interest, interest and principal were due in February 2022. In February 2022, Suzhou Snail signed an agreement with this subsidiary and assumed the loan and related interest for a total of $203,890. Subsequently, $103,890 was offset against the loan and interest payable owed to Suzhou Snail on a separate note. The total amount of loan and interest receivable — related party was $106,252 and $105,759, as of March 31, 2025 and December 31, 2024, respectively. The Company earned $493 and $499 in interest on the related party loans receivable during the three months ended March 31, 2025 and 2024, respectively.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12 – REVOLVING LOAN, SHORT TERM NOTES AND LONG - TERM DEBT</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1"/>
        </w:trPr>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20" w:type="dxa"/>
            <w:vAlign w:val="bottom"/>
          </w:tcPr>
          <w:p>
            <w:pPr>
              <w:spacing w:after="0"/>
              <w:rPr>
                <w:sz w:val="17"/>
                <w:szCs w:val="17"/>
                <w:color w:val="auto"/>
              </w:rPr>
            </w:pPr>
          </w:p>
        </w:tc>
        <w:tc>
          <w:tcPr>
            <w:tcW w:w="112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r>
      <w:tr>
        <w:trPr>
          <w:trHeight w:val="150"/>
        </w:trPr>
        <w:tc>
          <w:tcPr>
            <w:tcW w:w="834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b w:val="1"/>
                <w:bCs w:val="1"/>
                <w:color w:val="auto"/>
              </w:rPr>
              <w:t xml:space="preserve">2021 Revolving Loan </w:t>
            </w:r>
            <w:r>
              <w:rPr>
                <w:rFonts w:ascii="Times New Roman" w:cs="Times New Roman" w:eastAsia="Times New Roman" w:hAnsi="Times New Roman"/>
                <w:sz w:val="15"/>
                <w:szCs w:val="15"/>
                <w:color w:val="auto"/>
              </w:rPr>
              <w:t>- On June 21, 2023, the Company amended its revolving loan agreement (“amended revolver”) and</w:t>
            </w: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8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decreased the maximum balance from $9,000,000 to $6,000,000. The revolving maturity date of the revolving loan is extended to</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June 30, 2025, and has an annual interest rate equal to the prime rate less 0.25%. At March 31, 2025, the interest rate on this loan</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was 7.25%. Debt covenants of this loan require the Company to maintain a minimum debt service coverage ratio of at least 1.5 to</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 The Company was in compliance with the debt covenants of this loan for the trailing twelve month period ended March 31, 2025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and is expected to be in non-compliance in the next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100" w:type="dxa"/>
            <w:vAlign w:val="bottom"/>
            <w:shd w:val="clear" w:color="auto" w:fill="CCEEFF"/>
          </w:tcPr>
          <w:p>
            <w:pPr>
              <w:spacing w:after="0"/>
              <w:rPr>
                <w:sz w:val="17"/>
                <w:szCs w:val="17"/>
                <w:color w:val="auto"/>
              </w:rPr>
            </w:pPr>
          </w:p>
        </w:tc>
      </w:tr>
      <w:tr>
        <w:trPr>
          <w:trHeight w:val="170"/>
        </w:trPr>
        <w:tc>
          <w:tcPr>
            <w:tcW w:w="8340" w:type="dxa"/>
            <w:vAlign w:val="bottom"/>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 xml:space="preserve">2021 Promissory Note </w:t>
            </w:r>
            <w:r>
              <w:rPr>
                <w:rFonts w:ascii="Times New Roman" w:cs="Times New Roman" w:eastAsia="Times New Roman" w:hAnsi="Times New Roman"/>
                <w:sz w:val="15"/>
                <w:szCs w:val="15"/>
                <w:color w:val="auto"/>
              </w:rPr>
              <w:t>– On June 17, 2021, the Company amended its loan agreement to reduce the principal amount with</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financial institution for 10 years, annual interest rate of 3.5% for the first 5 years, and then floating at Wall Street Journal rate from</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years 6 to 10. The loan is secured by the Company’s building, with a carrying value of $4.2 million, and matures on June 30, 2031.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The note is subject to a prepayment penalty. Debt covenants of this loan require the Company to maintain a minimum debt service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coverage ratio of at least 1.5 to 1. The Company was in compliance with the debt covenants of this loan for the trailing twelve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month period ended March 31, 2025 and is expected to be in non-compliance within the next twelve months.</w:t>
            </w:r>
          </w:p>
        </w:tc>
        <w:tc>
          <w:tcPr>
            <w:tcW w:w="10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2,701,003</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2,722,549</w:t>
            </w:r>
          </w:p>
        </w:tc>
        <w:tc>
          <w:tcPr>
            <w:tcW w:w="100" w:type="dxa"/>
            <w:vAlign w:val="bottom"/>
          </w:tcPr>
          <w:p>
            <w:pPr>
              <w:spacing w:after="0"/>
              <w:rPr>
                <w:sz w:val="17"/>
                <w:szCs w:val="17"/>
                <w:color w:val="auto"/>
              </w:rPr>
            </w:pPr>
          </w:p>
        </w:tc>
      </w:tr>
      <w:tr>
        <w:trPr>
          <w:trHeight w:val="170"/>
        </w:trPr>
        <w:tc>
          <w:tcPr>
            <w:tcW w:w="83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 xml:space="preserve">2025 Convertible Notes </w:t>
            </w:r>
            <w:r>
              <w:rPr>
                <w:rFonts w:ascii="Times New Roman" w:cs="Times New Roman" w:eastAsia="Times New Roman" w:hAnsi="Times New Roman"/>
                <w:sz w:val="15"/>
                <w:szCs w:val="15"/>
                <w:color w:val="auto"/>
              </w:rPr>
              <w:t>– On February 21, 2025, the Company issued convertible notes at a 10.0% discount and a principal</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of $3,300,000. The notes had an interest rate of 5.0% and will be paid in consecutive monthly installments beginning May</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21, 2025 and will mature on February 21, 2026. In the event of a default the Company could be required to pay to the holders an</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 equal to the principal outstanding, plus any accrued interest through the date of payments, multiplied by 120%. The</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Company has the option to prepay the notes at any time and the note holders have the option to convert the notes, in whole or in</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part, at any time. The Company elected the fair value option to account for the convertible notes and recognized a fair value</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 of $145,482 on the notes during the three months ended March 31, 2025.</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2,854,518</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r>
      <w:tr>
        <w:trPr>
          <w:trHeight w:val="185"/>
        </w:trPr>
        <w:tc>
          <w:tcPr>
            <w:tcW w:w="8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debt</w:t>
            </w:r>
          </w:p>
        </w:tc>
        <w:tc>
          <w:tcPr>
            <w:tcW w:w="10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8,555,521</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5,722,549</w:t>
            </w:r>
          </w:p>
        </w:tc>
        <w:tc>
          <w:tcPr>
            <w:tcW w:w="100" w:type="dxa"/>
            <w:vAlign w:val="bottom"/>
          </w:tcPr>
          <w:p>
            <w:pPr>
              <w:spacing w:after="0"/>
              <w:rPr>
                <w:sz w:val="16"/>
                <w:szCs w:val="16"/>
                <w:color w:val="auto"/>
              </w:rPr>
            </w:pPr>
          </w:p>
        </w:tc>
      </w:tr>
      <w:tr>
        <w:trPr>
          <w:trHeight w:val="185"/>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current portion of promissory note</w:t>
            </w: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2,701,003</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2,722,549</w:t>
            </w:r>
          </w:p>
        </w:tc>
        <w:tc>
          <w:tcPr>
            <w:tcW w:w="100" w:type="dxa"/>
            <w:vAlign w:val="bottom"/>
            <w:shd w:val="clear" w:color="auto" w:fill="CCEEFF"/>
          </w:tcPr>
          <w:p>
            <w:pPr>
              <w:spacing w:after="0"/>
              <w:rPr>
                <w:sz w:val="16"/>
                <w:szCs w:val="16"/>
                <w:color w:val="auto"/>
              </w:rPr>
            </w:pPr>
          </w:p>
        </w:tc>
      </w:tr>
      <w:tr>
        <w:trPr>
          <w:trHeight w:val="185"/>
        </w:trPr>
        <w:tc>
          <w:tcPr>
            <w:tcW w:w="8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Less: revolving loan</w:t>
            </w:r>
          </w:p>
        </w:tc>
        <w:tc>
          <w:tcPr>
            <w:tcW w:w="10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3,000,000</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100" w:type="dxa"/>
            <w:vAlign w:val="bottom"/>
          </w:tcPr>
          <w:p>
            <w:pPr>
              <w:spacing w:after="0"/>
              <w:rPr>
                <w:sz w:val="16"/>
                <w:szCs w:val="16"/>
                <w:color w:val="auto"/>
              </w:rPr>
            </w:pPr>
          </w:p>
        </w:tc>
      </w:tr>
      <w:tr>
        <w:trPr>
          <w:trHeight w:val="196"/>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convertible notes at fair value</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2,854,518</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r>
      <w:tr>
        <w:trPr>
          <w:trHeight w:val="188"/>
        </w:trPr>
        <w:tc>
          <w:tcPr>
            <w:tcW w:w="8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long-term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Total interest expense for the above debt and revolver loan amounted to $80,746 and $395,964 for the three months ended March 31, 2025 and 2024, respectively. Accretion of the convertible notes and amortization of loan origination expenses and loan discounts of $2,611 and $294,683 are included as part of interest expense for the three months ended March 31, 2025 and 2024, respectively. The Company has a weighted average interest rate of 4.4% and 5.6% on its short-term obligations as of March 31, 2025 and December 31, 2024, respectively. The Company was in compliance with its debt covenants related to the 2021 Revolving Note and 2021 Promissory note for the trailing twelve months ended March 31, 2025, however it is probable that the Company will fail the covenants in the next quarter. As such, the Company has classified the long-term portion of its promissory note as current.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7220" w:type="dxa"/>
            <w:vAlign w:val="bottom"/>
          </w:tcPr>
          <w:p>
            <w:pPr>
              <w:ind w:left="362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120" w:type="dxa"/>
            <w:vAlign w:val="bottom"/>
          </w:tcPr>
          <w:p>
            <w:pPr>
              <w:spacing w:after="0"/>
              <w:rPr>
                <w:sz w:val="17"/>
                <w:szCs w:val="17"/>
                <w:color w:val="auto"/>
              </w:rPr>
            </w:pPr>
          </w:p>
        </w:tc>
        <w:tc>
          <w:tcPr>
            <w:tcW w:w="7220" w:type="dxa"/>
            <w:vAlign w:val="bottom"/>
          </w:tcPr>
          <w:p>
            <w:pPr>
              <w:ind w:left="270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9"/>
        </w:trPr>
        <w:tc>
          <w:tcPr>
            <w:tcW w:w="8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provides future minimum payments of its long-term debt based on contractual payments, as of March 31, 2025: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1"/>
        </w:trPr>
        <w:tc>
          <w:tcPr>
            <w:tcW w:w="8340" w:type="dxa"/>
            <w:vAlign w:val="bottom"/>
            <w:gridSpan w:val="2"/>
          </w:tcPr>
          <w:p>
            <w:pPr>
              <w:ind w:left="1120"/>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76"/>
        </w:trPr>
        <w:tc>
          <w:tcPr>
            <w:tcW w:w="1120" w:type="dxa"/>
            <w:vAlign w:val="bottom"/>
          </w:tcPr>
          <w:p>
            <w:pPr>
              <w:spacing w:after="0"/>
              <w:rPr>
                <w:sz w:val="15"/>
                <w:szCs w:val="15"/>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2025</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5,711,467</w:t>
            </w:r>
          </w:p>
        </w:tc>
        <w:tc>
          <w:tcPr>
            <w:tcW w:w="80" w:type="dxa"/>
            <w:vAlign w:val="bottom"/>
            <w:tcBorders>
              <w:top w:val="single" w:sz="8" w:color="CCEEFF"/>
            </w:tcBorders>
            <w:shd w:val="clear" w:color="auto" w:fill="CCEEFF"/>
          </w:tcPr>
          <w:p>
            <w:pPr>
              <w:spacing w:after="0"/>
              <w:rPr>
                <w:sz w:val="15"/>
                <w:szCs w:val="15"/>
                <w:color w:val="auto"/>
              </w:rPr>
            </w:pPr>
          </w:p>
        </w:tc>
      </w:tr>
      <w:tr>
        <w:trPr>
          <w:trHeight w:val="185"/>
        </w:trPr>
        <w:tc>
          <w:tcPr>
            <w:tcW w:w="1120" w:type="dxa"/>
            <w:vAlign w:val="bottom"/>
          </w:tcPr>
          <w:p>
            <w:pPr>
              <w:spacing w:after="0"/>
              <w:rPr>
                <w:sz w:val="16"/>
                <w:szCs w:val="16"/>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742,115</w:t>
            </w:r>
          </w:p>
        </w:tc>
      </w:tr>
      <w:tr>
        <w:trPr>
          <w:trHeight w:val="185"/>
        </w:trPr>
        <w:tc>
          <w:tcPr>
            <w:tcW w:w="1120" w:type="dxa"/>
            <w:vAlign w:val="bottom"/>
          </w:tcPr>
          <w:p>
            <w:pPr>
              <w:spacing w:after="0"/>
              <w:rPr>
                <w:sz w:val="16"/>
                <w:szCs w:val="16"/>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92,329</w:t>
            </w:r>
          </w:p>
        </w:tc>
      </w:tr>
      <w:tr>
        <w:trPr>
          <w:trHeight w:val="185"/>
        </w:trPr>
        <w:tc>
          <w:tcPr>
            <w:tcW w:w="1120" w:type="dxa"/>
            <w:vAlign w:val="bottom"/>
          </w:tcPr>
          <w:p>
            <w:pPr>
              <w:spacing w:after="0"/>
              <w:rPr>
                <w:sz w:val="16"/>
                <w:szCs w:val="16"/>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95,414</w:t>
            </w:r>
          </w:p>
        </w:tc>
      </w:tr>
      <w:tr>
        <w:trPr>
          <w:trHeight w:val="185"/>
        </w:trPr>
        <w:tc>
          <w:tcPr>
            <w:tcW w:w="1120" w:type="dxa"/>
            <w:vAlign w:val="bottom"/>
          </w:tcPr>
          <w:p>
            <w:pPr>
              <w:spacing w:after="0"/>
              <w:rPr>
                <w:sz w:val="16"/>
                <w:szCs w:val="16"/>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99,101</w:t>
            </w:r>
          </w:p>
        </w:tc>
      </w:tr>
      <w:tr>
        <w:trPr>
          <w:trHeight w:val="196"/>
        </w:trPr>
        <w:tc>
          <w:tcPr>
            <w:tcW w:w="11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2,260,577</w:t>
            </w:r>
          </w:p>
        </w:tc>
      </w:tr>
      <w:tr>
        <w:trPr>
          <w:trHeight w:val="188"/>
        </w:trPr>
        <w:tc>
          <w:tcPr>
            <w:tcW w:w="1120" w:type="dxa"/>
            <w:vAlign w:val="bottom"/>
          </w:tcPr>
          <w:p>
            <w:pPr>
              <w:spacing w:after="0"/>
              <w:rPr>
                <w:sz w:val="16"/>
                <w:szCs w:val="16"/>
                <w:color w:val="auto"/>
              </w:rPr>
            </w:pPr>
          </w:p>
        </w:tc>
        <w:tc>
          <w:tcPr>
            <w:tcW w:w="72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9,001,003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Convertible Debt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2023 Convertible Notes</w:t>
      </w:r>
    </w:p>
    <w:p>
      <w:pPr>
        <w:spacing w:after="0" w:line="19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In August 2023, pursuant to a securities purchase agreement, the Company issued to two accredited investors (the convertible debt “Investors”) convertible notes with an aggregate principal amount of $1,080,000 (the “2023 Convertible Notes”) and warrants to purchase up to an aggregate of 714,285 shares of the Company’s Class A common stock for gross proceeds of $1,000,000 (the “2023 Convertible Notes Financing”).</w:t>
      </w:r>
    </w:p>
    <w:p>
      <w:pPr>
        <w:spacing w:after="0" w:line="146"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2023 Convertible Notes carried an original issue discount of approximately 7.4%, bore interest at a rate of 7.5% per annum (16% per annum in case of an event of default), were repaid in equal consecutive monthly installments that began in February 2024 and matured on May 24, 2024.</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Company determined that the 2023 Convertible Notes included features that required bifurcation from the debt host and met the criteria to be accounted for as a derivative liability that is accounted for at fair value. On the date of issuance, the compound derivative had an estimated fair value that was not significant due to the remoteness of the events that would trigger the redemption features. The derivative liability uses level 3 inputs, is to be measured at fair value each reporting date with change in fair value being reported in other income. The change in fair value during the three months ended March 31, 2024, was not significant and as such, was not recorded</w:t>
      </w:r>
    </w:p>
    <w:p>
      <w:pPr>
        <w:spacing w:after="0" w:line="1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debt discount was amortized to interest expense over the maturity period using the effective interest method at a rate of 103.4%. The effective interest rate was based on the principal balance discounted by stated interest, debt issuance costs and fair value allocated to the related warrants. For the three months ended March 31, 2024, the Company recognized $252,820 of interest expense related to the 2023 Convertible Notes, comprising of $18,347 of contractual interest expense, $181,754 in accretion and $52,719 of amortization of debt discount and issuance costs.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23" w:name="page24"/>
    <w:bookmarkEnd w:id="23"/>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During the year ended December 31, 2024, the Company repaid the balance of $1,071,750 of principal and accrued interest and the investors converted $60,000 of principal into 71,460 shares of Class A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2025 Convertible Notes</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In February 2025, pursuant to a securities purchase agreement (the “SPA”), the Company issued to two accredited investors (the “Investors”) convertible notes with an aggregate principal amount of $3,300,000 (the “2025 Convertible Notes”) for gross proceeds of $3,000,000 (the “2025 Convertible Notes Financing”). The 2025 Convertible Notes, which mature on February 21, 2026, carry an original issue discount of 10%, and are subject to a guaranteed interest equal to 5% of the principal amount. The principal and interest charges are payable in 10 equal monthly payments starting May 21, 2025.</w:t>
      </w:r>
    </w:p>
    <w:p>
      <w:pPr>
        <w:spacing w:after="0" w:line="1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Subject to certain ownership limitations, all or portion of the then outstanding and unpaid principal and interest (the “conversion amount”) of the 2025 Convertible Notes can be converted at the option of the holder at any time into shares of the Company’s Class A common, at a conversion price of $5.00 per share, except that, for an aggregate of $866,250 of the conversion amount, the conversion price is equal to the lesser of $5.00 per share or 92% of the lowest daily volume weighted average price (“VWAP”) of the Class A common stock during the 5 trading days period prior the receipt of the notice of conversion (the “Market Price”). The conversion price may be adjusted for certain customary dilutive events.</w:t>
      </w:r>
    </w:p>
    <w:p>
      <w:pPr>
        <w:spacing w:after="0" w:line="15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The 2025 Convertible Notes may be prepaid by the Company upon giving the Investors a ten-calendar day notice by paying an amount equal to the outstanding balance. In event of default the Investors may require the Company to prepay the 2025 Convertible Notes at a 120% premium and have the option to convert any amount then outstanding into shares of Common Stock at the lesser of the then applicable conversion price or the Market Price. If the Company fails to make the monthly payment, the Noteholders have the right to convert the amount of the monthly payment into shares of Common Stock at the lesser of the then applicable Conversion Price or the Market Price.</w:t>
      </w:r>
    </w:p>
    <w:p>
      <w:pPr>
        <w:spacing w:after="0" w:line="15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The Convertible Notes include multiple features that would require bifurcation, analysis and to be revalued at each reporting date. Accordingly, the Company has elected to apply the fair value option to the 2025 Convertible Notes to simplify the reporting. The 2025 Convertible Notes were initially measured at fair value and are being re-measured at fair value at each subsequent reporting date. From the date of issuance through March 31, 2025, the change in fair value was as follows:</w:t>
      </w:r>
    </w:p>
    <w:p>
      <w:pPr>
        <w:sectPr>
          <w:pgSz w:w="11900" w:h="16838" w:orient="portrait"/>
          <w:cols w:equalWidth="0" w:num="1">
            <w:col w:w="11260"/>
          </w:cols>
          <w:pgMar w:left="320" w:top="587" w:right="319" w:bottom="1440" w:gutter="0" w:footer="0" w:header="0"/>
        </w:sectPr>
      </w:pP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Fair value, at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-108585</wp:posOffset>
            </wp:positionV>
            <wp:extent cx="5715635" cy="117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635" cy="11747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15"/>
          <w:szCs w:val="15"/>
          <w:color w:val="auto"/>
        </w:rPr>
        <w:t>Change in fair value</w:t>
      </w:r>
    </w:p>
    <w:p>
      <w:pPr>
        <w:spacing w:after="0" w:line="1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Fair value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-101600</wp:posOffset>
            </wp:positionV>
            <wp:extent cx="5715635" cy="139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635"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99" w:hanging="899"/>
        <w:spacing w:after="0"/>
        <w:tabs>
          <w:tab w:leader="none" w:pos="89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3,000,000</w:t>
      </w:r>
    </w:p>
    <w:p>
      <w:pPr>
        <w:spacing w:after="0" w:line="12" w:lineRule="exact"/>
        <w:rPr>
          <w:rFonts w:ascii="Times New Roman" w:cs="Times New Roman" w:eastAsia="Times New Roman" w:hAnsi="Times New Roman"/>
          <w:sz w:val="15"/>
          <w:szCs w:val="15"/>
          <w:color w:val="auto"/>
        </w:rPr>
      </w:pPr>
    </w:p>
    <w:p>
      <w:pPr>
        <w:ind w:left="97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(145,482)</w:t>
      </w:r>
    </w:p>
    <w:p>
      <w:pPr>
        <w:spacing w:after="0" w:line="32" w:lineRule="exact"/>
        <w:rPr>
          <w:sz w:val="20"/>
          <w:szCs w:val="20"/>
          <w:color w:val="auto"/>
        </w:rPr>
      </w:pPr>
    </w:p>
    <w:p>
      <w:pPr>
        <w:ind w:left="899" w:hanging="899"/>
        <w:spacing w:after="0"/>
        <w:tabs>
          <w:tab w:leader="none" w:pos="89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2,854,518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96710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710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1" w:space="720"/>
            <w:col w:w="2739"/>
          </w:cols>
          <w:pgMar w:left="320" w:top="587" w:right="319" w:bottom="1440" w:gutter="0" w:footer="0" w:header="0"/>
          <w:type w:val="continuous"/>
        </w:sectPr>
      </w:pP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The change in fair value of $117,105 is reported in other income in our condensed consolidated statement of operations and comprehensive loss and $28,377 is recorded in other comprehensive income (loss) due to the change in credit spread from issuance to March 31, 2025, prior to tax adjustment. The portion of the total change in the fair value of the 2025 Convertible Notes that is attributable to changes in the Company’s own credit risk (the “credit component”) is estimated each reporting date using a </w:t>
      </w:r>
      <w:r>
        <w:rPr>
          <w:rFonts w:ascii="Times New Roman" w:cs="Times New Roman" w:eastAsia="Times New Roman" w:hAnsi="Times New Roman"/>
          <w:sz w:val="15"/>
          <w:szCs w:val="15"/>
          <w:i w:val="1"/>
          <w:iCs w:val="1"/>
          <w:color w:val="auto"/>
        </w:rPr>
        <w:t>with-and-without</w:t>
      </w:r>
      <w:r>
        <w:rPr>
          <w:rFonts w:ascii="Times New Roman" w:cs="Times New Roman" w:eastAsia="Times New Roman" w:hAnsi="Times New Roman"/>
          <w:sz w:val="15"/>
          <w:szCs w:val="15"/>
          <w:color w:val="auto"/>
        </w:rPr>
        <w:t xml:space="preserve"> approach. Management first measures fair value using all updated valuation inputs, including the credit spread implied by current market data (33.0%) then management re-measures fair value holding every assumption constant except for the credit spread, which is reset to the spread calibrated on the issuance date (31.2%). The difference between the two fair-value estimates isolates the effect of instrument-specific credit risk.</w:t>
      </w:r>
    </w:p>
    <w:p>
      <w:pPr>
        <w:spacing w:after="0" w:line="1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5"/>
          <w:szCs w:val="15"/>
          <w:color w:val="auto"/>
        </w:rPr>
        <w:t>The Company used the binomial lattice framework to determine the fair value of each maturity payout. Accordingly, the valuation uses a range of level 3 inputs to evaluate each maturity payout individually. The range of level 3 inputs used on the issuance date and as of March 31, 2025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2"/>
          </w:tcPr>
          <w:p>
            <w:pPr>
              <w:jc w:val="right"/>
              <w:ind w:right="820"/>
              <w:spacing w:after="0"/>
              <w:rPr>
                <w:sz w:val="20"/>
                <w:szCs w:val="20"/>
                <w:color w:val="auto"/>
              </w:rPr>
            </w:pPr>
            <w:r>
              <w:rPr>
                <w:rFonts w:ascii="Times New Roman" w:cs="Times New Roman" w:eastAsia="Times New Roman" w:hAnsi="Times New Roman"/>
                <w:sz w:val="15"/>
                <w:szCs w:val="15"/>
                <w:color w:val="auto"/>
              </w:rPr>
              <w:t>March 31, 2025</w:t>
            </w:r>
          </w:p>
        </w:tc>
        <w:tc>
          <w:tcPr>
            <w:tcW w:w="220" w:type="dxa"/>
            <w:vAlign w:val="bottom"/>
          </w:tcPr>
          <w:p>
            <w:pPr>
              <w:spacing w:after="0"/>
              <w:rPr>
                <w:sz w:val="17"/>
                <w:szCs w:val="17"/>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February 21, 2025</w:t>
            </w:r>
          </w:p>
        </w:tc>
      </w:tr>
      <w:tr>
        <w:trPr>
          <w:trHeight w:val="176"/>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price</w:t>
            </w:r>
          </w:p>
        </w:tc>
        <w:tc>
          <w:tcPr>
            <w:tcW w:w="34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0.88</w:t>
            </w: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40" w:type="dxa"/>
            <w:vAlign w:val="bottom"/>
            <w:tcBorders>
              <w:top w:val="single" w:sz="8" w:color="CCEEFF"/>
            </w:tcBorders>
            <w:shd w:val="clear" w:color="auto" w:fill="CCEEFF"/>
          </w:tcPr>
          <w:p>
            <w:pPr>
              <w:spacing w:after="0"/>
              <w:rPr>
                <w:sz w:val="15"/>
                <w:szCs w:val="15"/>
                <w:color w:val="auto"/>
              </w:rPr>
            </w:pPr>
          </w:p>
        </w:tc>
      </w:tr>
      <w:tr>
        <w:trPr>
          <w:trHeight w:val="185"/>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92% VWAP or $5.00</w:t>
            </w:r>
          </w:p>
        </w:tc>
        <w:tc>
          <w:tcPr>
            <w:tcW w:w="220" w:type="dxa"/>
            <w:vAlign w:val="bottom"/>
          </w:tcPr>
          <w:p>
            <w:pPr>
              <w:spacing w:after="0"/>
              <w:rPr>
                <w:sz w:val="16"/>
                <w:szCs w:val="16"/>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92% VWAP or $5.00</w:t>
            </w:r>
          </w:p>
        </w:tc>
      </w:tr>
      <w:tr>
        <w:trPr>
          <w:trHeight w:val="18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term (years)</w:t>
            </w:r>
          </w:p>
        </w:tc>
        <w:tc>
          <w:tcPr>
            <w:tcW w:w="3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0.14-0.90</w:t>
            </w:r>
          </w:p>
        </w:tc>
        <w:tc>
          <w:tcPr>
            <w:tcW w:w="2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0.24-1.00</w:t>
            </w:r>
          </w:p>
        </w:tc>
      </w:tr>
      <w:tr>
        <w:trPr>
          <w:trHeight w:val="185"/>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124.8% - 181.0%</w:t>
            </w:r>
          </w:p>
        </w:tc>
        <w:tc>
          <w:tcPr>
            <w:tcW w:w="220" w:type="dxa"/>
            <w:vAlign w:val="bottom"/>
          </w:tcPr>
          <w:p>
            <w:pPr>
              <w:spacing w:after="0"/>
              <w:rPr>
                <w:sz w:val="16"/>
                <w:szCs w:val="16"/>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117.0% - 190.9%</w:t>
            </w:r>
          </w:p>
        </w:tc>
      </w:tr>
      <w:tr>
        <w:trPr>
          <w:trHeight w:val="18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3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4.03% - 4.32%</w:t>
            </w:r>
          </w:p>
        </w:tc>
        <w:tc>
          <w:tcPr>
            <w:tcW w:w="2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4.11% - 4.29%</w:t>
            </w:r>
          </w:p>
        </w:tc>
      </w:tr>
      <w:tr>
        <w:trPr>
          <w:trHeight w:val="369"/>
        </w:trPr>
        <w:tc>
          <w:tcPr>
            <w:tcW w:w="34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right"/>
              <w:ind w:right="1405"/>
              <w:spacing w:after="0"/>
              <w:rPr>
                <w:sz w:val="20"/>
                <w:szCs w:val="20"/>
                <w:color w:val="auto"/>
              </w:rPr>
            </w:pPr>
            <w:r>
              <w:rPr>
                <w:rFonts w:ascii="Times New Roman" w:cs="Times New Roman" w:eastAsia="Times New Roman" w:hAnsi="Times New Roman"/>
                <w:sz w:val="15"/>
                <w:szCs w:val="15"/>
                <w:color w:val="auto"/>
              </w:rPr>
              <w:t>F-21</w:t>
            </w:r>
          </w:p>
        </w:tc>
        <w:tc>
          <w:tcPr>
            <w:tcW w:w="1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87" w:right="3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5"/>
          <w:szCs w:val="15"/>
          <w:color w:val="auto"/>
        </w:rPr>
        <w:t>The weighted average volatility, risk-free rate and contractual term used in the valuation was 158.6%, 4.18%, and 0.52 years as of March 31, 2025,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13 – INCOME TAXES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Company is required to calculate its interim income tax provision using the estimated annual effective tax rate (“AETR”) method which involves the use of forecasted information, adjusted for the effect of discrete items arising in that quarter. Under the AETR method, the income tax provision is calculated by applying the estimated AETR for the full fiscal year to “ordinary” income or loss (pretax income or loss excluding discrete items) for the reporting period. This could result in a higher or lower effective tax rate during a particular quarter, based upon the mix and timing of actual earnings or losses versus forecasted earnings for the full fiscal year. In each quarter, the Company updates its estimate of the annual effective tax rate, and if the estimated annual tax rate changes, a cumulative adjustment is made in that quarter.</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Company recognized an income tax benefit of $1,470,830 and income tax benefit of $477,950 for the three months ended March 31, 2025 and 2024, respectively. For the three months ended March 31, 2025 the Company’s effective tax rate of 43% differed from the federal statutory rate of 21% primarily due to permanent differences, state taxes, global intangible low-taxed income related to the Company’s foreign subsidiary, and the ratio of forecasted permanent book-tax differences compared to forecasted pre-tax income used in the AETR method is higher than it is expected to be at year-end, elevating the interim effective tax-rate. For the three months ended March 31, 2024 the Company’s effective tax rate did not differ from the federal statutory rate of 21%.</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Company has assessed all available positive and negative evidence, including the results of recent operations, continued release of games and DLC’s, and projections of future taxable income. After evaluating the positive and negative evidence, management believes it is more likely than not that the Company will realize the benefits of these deductible differences. In the event that negative evidence outweighs positive evidence in future periods, the Company may need to record additional valuation allowance, which could have a material impact on our financial position. The Company continues to maintain a valuation allowance against certain deferred tax assets that are not more likely than not to be realized.</w:t>
      </w:r>
    </w:p>
    <w:p>
      <w:pPr>
        <w:spacing w:after="0" w:line="1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In the Company’s ordinary course of business the Internal Revenue Service (“IRS”) and other taxing authorities may examine various years of the Company’s tax filings. The Company’s 2022 fiscal year is currently under examination by the IRS. During the examination the Company may receive proposed adjustments that could be material. There are currently no settlements that the Company believes will be more likely than not to require settlement and thus no liability has been accrued.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7"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14 – OPERATING LEASE RIGHT-OF-USE ASSETS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$1,075,000 to lease office space. The standby letter of credit was valid for a one-year term and was amended in January 2021 to extend to January 31, 2026. As of March 31, 2025 and December 31, 2024, the Company’s net operating lease right-of-use assets amounted to $953,082 and $1,279,330, respectively. The Company had variable lease payments of approximately $38,277 and $27,332 during the three months ended March 31, 2025 and 2024, respectively, which consisted primarily of common area maintenance charges and administrative fees.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Operating lease costs included in the general and administrative expenses in our condensed consolidated statements of operations and comprehensive loss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31, 2025 and 2024, are as follows:</w:t>
      </w:r>
    </w:p>
    <w:p>
      <w:pPr>
        <w:spacing w:after="0" w:line="190" w:lineRule="exact"/>
        <w:rPr>
          <w:sz w:val="20"/>
          <w:szCs w:val="20"/>
          <w:color w:val="auto"/>
        </w:rPr>
      </w:pPr>
    </w:p>
    <w:p>
      <w:pPr>
        <w:ind w:left="7800"/>
        <w:spacing w:after="0"/>
        <w:tabs>
          <w:tab w:leader="none" w:pos="10020" w:val="left"/>
        </w:tabs>
        <w:rPr>
          <w:sz w:val="20"/>
          <w:szCs w:val="20"/>
          <w:color w:val="auto"/>
        </w:rPr>
      </w:pPr>
      <w:r>
        <w:rPr>
          <w:rFonts w:ascii="Times New Roman" w:cs="Times New Roman" w:eastAsia="Times New Roman" w:hAnsi="Times New Roman"/>
          <w:sz w:val="15"/>
          <w:szCs w:val="15"/>
          <w:b w:val="1"/>
          <w:bCs w:val="1"/>
          <w:color w:val="auto"/>
        </w:rPr>
        <w:t>2025</w:t>
      </w:r>
      <w:r>
        <w:rPr>
          <w:sz w:val="20"/>
          <w:szCs w:val="20"/>
          <w:color w:val="auto"/>
        </w:rPr>
        <w:tab/>
      </w:r>
      <w:r>
        <w:rPr>
          <w:rFonts w:ascii="Times New Roman" w:cs="Times New Roman" w:eastAsia="Times New Roman" w:hAnsi="Times New Roman"/>
          <w:sz w:val="15"/>
          <w:szCs w:val="15"/>
          <w:b w:val="1"/>
          <w:bCs w:val="1"/>
          <w:color w:val="auto"/>
        </w:rPr>
        <w:t>2024</w:t>
      </w:r>
    </w:p>
    <w:p>
      <w:pPr>
        <w:spacing w:after="0" w:line="31" w:lineRule="exact"/>
        <w:rPr>
          <w:sz w:val="20"/>
          <w:szCs w:val="20"/>
          <w:color w:val="auto"/>
        </w:rPr>
      </w:pPr>
    </w:p>
    <w:p>
      <w:pPr>
        <w:spacing w:after="0"/>
        <w:tabs>
          <w:tab w:leader="none" w:pos="6960" w:val="left"/>
          <w:tab w:leader="none" w:pos="8400" w:val="left"/>
          <w:tab w:leader="none" w:pos="9220" w:val="left"/>
          <w:tab w:leader="none" w:pos="10640" w:val="left"/>
        </w:tabs>
        <w:rPr>
          <w:sz w:val="20"/>
          <w:szCs w:val="20"/>
          <w:color w:val="auto"/>
        </w:rPr>
      </w:pPr>
      <w:r>
        <w:rPr>
          <w:rFonts w:ascii="Times New Roman" w:cs="Times New Roman" w:eastAsia="Times New Roman" w:hAnsi="Times New Roman"/>
          <w:sz w:val="15"/>
          <w:szCs w:val="15"/>
          <w:color w:val="auto"/>
        </w:rPr>
        <w:t>Operating lease costs</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423,037</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396,515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2005" cy="124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2005" cy="1244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Supplemental information related to operating leases for lease liabilities as of March 31, 2025 and March 31, 2024,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2025</w:t>
            </w: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r>
      <w:tr>
        <w:trPr>
          <w:trHeight w:val="17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22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422,537</w:t>
            </w: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400,662</w:t>
            </w:r>
          </w:p>
        </w:tc>
        <w:tc>
          <w:tcPr>
            <w:tcW w:w="140" w:type="dxa"/>
            <w:vAlign w:val="bottom"/>
            <w:shd w:val="clear" w:color="auto" w:fill="CCEEFF"/>
          </w:tcPr>
          <w:p>
            <w:pPr>
              <w:spacing w:after="0"/>
              <w:rPr>
                <w:sz w:val="15"/>
                <w:szCs w:val="15"/>
                <w:color w:val="auto"/>
              </w:rPr>
            </w:pPr>
          </w:p>
        </w:tc>
      </w:tr>
      <w:tr>
        <w:trPr>
          <w:trHeight w:val="18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remaining lease term</w:t>
            </w:r>
          </w:p>
        </w:tc>
        <w:tc>
          <w:tcPr>
            <w:tcW w:w="122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0.8 years</w:t>
            </w:r>
          </w:p>
        </w:tc>
        <w:tc>
          <w:tcPr>
            <w:tcW w:w="44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 years</w:t>
            </w:r>
          </w:p>
        </w:tc>
      </w:tr>
      <w:tr>
        <w:trPr>
          <w:trHeight w:val="185"/>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1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5.18%</w:t>
            </w:r>
          </w:p>
        </w:tc>
        <w:tc>
          <w:tcPr>
            <w:tcW w:w="4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Future undiscounted lease payments for operating leases and a reconciliation of these payments to our operating lease liabilities as of March 31, 2025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rPr>
              <w:t>Imputed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Future lease</w:t>
            </w:r>
          </w:p>
        </w:tc>
        <w:tc>
          <w:tcPr>
            <w:tcW w:w="280" w:type="dxa"/>
            <w:vAlign w:val="bottom"/>
          </w:tcPr>
          <w:p>
            <w:pPr>
              <w:spacing w:after="0"/>
              <w:rPr>
                <w:sz w:val="16"/>
                <w:szCs w:val="16"/>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Lease</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payments</w:t>
            </w:r>
          </w:p>
        </w:tc>
        <w:tc>
          <w:tcPr>
            <w:tcW w:w="280" w:type="dxa"/>
            <w:vAlign w:val="bottom"/>
          </w:tcPr>
          <w:p>
            <w:pPr>
              <w:spacing w:after="0"/>
              <w:rPr>
                <w:sz w:val="17"/>
                <w:szCs w:val="17"/>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Liabilities</w:t>
            </w:r>
          </w:p>
        </w:tc>
      </w:tr>
      <w:tr>
        <w:trPr>
          <w:trHeight w:val="17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2025</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1,055,085</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17,459</w:t>
            </w: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1,037,626</w:t>
            </w:r>
          </w:p>
        </w:tc>
        <w:tc>
          <w:tcPr>
            <w:tcW w:w="100" w:type="dxa"/>
            <w:vAlign w:val="bottom"/>
            <w:tcBorders>
              <w:top w:val="single" w:sz="8" w:color="CCEEFF"/>
            </w:tcBorders>
            <w:shd w:val="clear" w:color="auto" w:fill="CCEEFF"/>
          </w:tcPr>
          <w:p>
            <w:pPr>
              <w:spacing w:after="0"/>
              <w:rPr>
                <w:sz w:val="15"/>
                <w:szCs w:val="15"/>
                <w:color w:val="auto"/>
              </w:rPr>
            </w:pPr>
          </w:p>
        </w:tc>
      </w:tr>
      <w:tr>
        <w:trPr>
          <w:trHeight w:val="185"/>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24,737</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3,455</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21,282</w:t>
            </w:r>
          </w:p>
        </w:tc>
      </w:tr>
      <w:tr>
        <w:trPr>
          <w:trHeight w:val="18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25,636</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1,778</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23,858</w:t>
            </w:r>
          </w:p>
        </w:tc>
      </w:tr>
      <w:tr>
        <w:trPr>
          <w:trHeight w:val="196"/>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13,042</w:t>
            </w:r>
          </w:p>
        </w:tc>
        <w:tc>
          <w:tcPr>
            <w:tcW w:w="280" w:type="dxa"/>
            <w:vAlign w:val="bottom"/>
          </w:tcPr>
          <w:p>
            <w:pPr>
              <w:spacing w:after="0"/>
              <w:rPr>
                <w:sz w:val="17"/>
                <w:szCs w:val="17"/>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199</w:t>
            </w:r>
          </w:p>
        </w:tc>
        <w:tc>
          <w:tcPr>
            <w:tcW w:w="2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12,843</w:t>
            </w:r>
          </w:p>
        </w:tc>
      </w:tr>
      <w:tr>
        <w:trPr>
          <w:trHeight w:val="188"/>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future lease payments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1,118,500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22,891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1,095,609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15 – COMMITMENTS AND CONTINGENCIES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Litigation</w:t>
      </w:r>
    </w:p>
    <w:p>
      <w:pPr>
        <w:spacing w:after="0" w:line="20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concerned a videogame titled </w:t>
      </w:r>
      <w:r>
        <w:rPr>
          <w:rFonts w:ascii="Times New Roman" w:cs="Times New Roman" w:eastAsia="Times New Roman" w:hAnsi="Times New Roman"/>
          <w:sz w:val="15"/>
          <w:szCs w:val="15"/>
          <w:i w:val="1"/>
          <w:iCs w:val="1"/>
          <w:color w:val="auto"/>
        </w:rPr>
        <w:t>Myth of Empires</w:t>
      </w:r>
      <w:r>
        <w:rPr>
          <w:rFonts w:ascii="Times New Roman" w:cs="Times New Roman" w:eastAsia="Times New Roman" w:hAnsi="Times New Roman"/>
          <w:sz w:val="15"/>
          <w:szCs w:val="15"/>
          <w:color w:val="auto"/>
        </w:rPr>
        <w:t>, which was developed by Suzhou Angela Online Game Technology Co., Ltd. (“Angela Game”) and published by Imperium Interactive Entertainment Limited (“Imperium”).</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 xml:space="preserve">On December 9, 2021, Angela Game and Imperium sued the Company and Studio Wildcard in the United States District Court for the Central District of California (the “District Court”) in response to the DCMA Takedown Notice. The lawsuit sought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reinstate Myth of Empires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 w:cs="Times New Roman" w:eastAsia="Times New Roman" w:hAnsi="Times New Roman"/>
          <w:sz w:val="15"/>
          <w:szCs w:val="15"/>
          <w:i w:val="1"/>
          <w:iCs w:val="1"/>
          <w:color w:val="auto"/>
        </w:rPr>
        <w:t>ARK: Survival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Evolved </w:t>
      </w:r>
      <w:r>
        <w:rPr>
          <w:rFonts w:ascii="Times New Roman" w:cs="Times New Roman" w:eastAsia="Times New Roman" w:hAnsi="Times New Roman"/>
          <w:sz w:val="15"/>
          <w:szCs w:val="15"/>
          <w:color w:val="auto"/>
        </w:rPr>
        <w:t>source code.</w:t>
      </w:r>
    </w:p>
    <w:p>
      <w:pPr>
        <w:spacing w:after="0" w:line="34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On September 8, 2023, the Company entered into a settlement agreement with Angela Game. The settlement agreement includes an upfront payment from Angela Game to the Company plus ongoing payments. The upfront payment of $1.2 million was recorded as deferred revenue as of December 31, 2023, and recognized upon the satisfaction of performance obligations during the three months ended March 31, 2024.</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On March 14, 2023, Bel Air Soto, LLC (“Plaintiff”) filed suit in the Superior Court of California, County of Los Angeles, against Snail Games USA Inc. and INDIEV, an affiliate company that is owned by Mr. Hai Shi, the Company’s Founder, Co-Chief Executive Officer,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$3 million. Snail Games USA Inc. disputes the allegations and the amount of damages. The Company has responded to the complaint with an answer and cross-complaint. The cross-complaint seeks return for the $130,000 security deposit. The landlord has answered and denied the allegations of the cross-complaint. The Company intends to vigorously defend against the claims asserted. The Plaintiff has filed a motion to amend its complaint to include additional related parties. Trial is presently scheduled to commence in June 2025.</w:t>
      </w:r>
    </w:p>
    <w:p>
      <w:pPr>
        <w:spacing w:after="0" w:line="1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spacing w:after="0" w:line="1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In October 2023, INDIEV has filed for bankruptcy and the Company does not expect to recover its costs from INDIEV. Accordingly, it is uncertain whether INDIEV would be able to indemnify the Company due to its bankruptcy. At this time, the Company is unable to quantify the magnitude of the potential loss should the plaintiffs’ lawsuit succeed and accordingly no accrual for loss has been recorded in the accompanying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Commitments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The Company routinely enters contracts with related party developers for the development of new games. These agreements ordinarily include contractual payments to the developers for several milestones that occur at various times through 2026. The aggregate amount of development commitments to related party developers is $5.1 million as of March 31, 2025, Our commitments assume satisfactory performance by our related party software developer. See Note 10 – </w:t>
      </w:r>
      <w:r>
        <w:rPr>
          <w:rFonts w:ascii="Times New Roman" w:cs="Times New Roman" w:eastAsia="Times New Roman" w:hAnsi="Times New Roman"/>
          <w:sz w:val="15"/>
          <w:szCs w:val="15"/>
          <w:i w:val="1"/>
          <w:iCs w:val="1"/>
          <w:color w:val="auto"/>
        </w:rPr>
        <w:t>Accounts Payable – Related Party</w:t>
      </w:r>
      <w:r>
        <w:rPr>
          <w:rFonts w:ascii="Times New Roman" w:cs="Times New Roman" w:eastAsia="Times New Roman" w:hAnsi="Times New Roman"/>
          <w:sz w:val="15"/>
          <w:szCs w:val="15"/>
          <w:color w:val="auto"/>
        </w:rPr>
        <w:t xml:space="preserve"> and Note 19 – </w:t>
      </w:r>
      <w:r>
        <w:rPr>
          <w:rFonts w:ascii="Times New Roman" w:cs="Times New Roman" w:eastAsia="Times New Roman" w:hAnsi="Times New Roman"/>
          <w:sz w:val="15"/>
          <w:szCs w:val="15"/>
          <w:i w:val="1"/>
          <w:iCs w:val="1"/>
          <w:color w:val="auto"/>
        </w:rPr>
        <w:t>Subsequent Events</w:t>
      </w:r>
      <w:r>
        <w:rPr>
          <w:rFonts w:ascii="Times New Roman" w:cs="Times New Roman" w:eastAsia="Times New Roman" w:hAnsi="Times New Roman"/>
          <w:sz w:val="15"/>
          <w:szCs w:val="15"/>
          <w:color w:val="auto"/>
        </w:rPr>
        <w:t xml:space="preserve"> for more information.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16 –LOSS PER SHARE</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Company uses the two class method to compute its basic loss per share (“Basic EPS”) and diluted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loss divided by the weighted-average number of common shares outstanding for the period. Diluted EPS reflects the potential dilution that could occur using the treasury stock and if-converted methods, as applicable. The following table provides a reconciliation of the weighted average number of shares used in the calculation of Basic and Diluted EPS.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9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Basic Loss Per Share:</w:t>
            </w:r>
          </w:p>
        </w:tc>
        <w:tc>
          <w:tcPr>
            <w:tcW w:w="1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attributable to Class A common stockholders</w:t>
            </w:r>
          </w:p>
        </w:tc>
        <w:tc>
          <w:tcPr>
            <w:tcW w:w="1160" w:type="dxa"/>
            <w:vAlign w:val="bottom"/>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(441,731)</w:t>
            </w:r>
          </w:p>
        </w:tc>
        <w:tc>
          <w:tcPr>
            <w:tcW w:w="920" w:type="dxa"/>
            <w:vAlign w:val="bottom"/>
            <w:gridSpan w:val="2"/>
          </w:tcPr>
          <w:p>
            <w:pPr>
              <w:jc w:val="right"/>
              <w:ind w:right="6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(385,722)</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attributable to Class B common stockholders</w:t>
            </w:r>
          </w:p>
        </w:tc>
        <w:tc>
          <w:tcPr>
            <w:tcW w:w="1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(1,504,276)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(1,393,607)</w:t>
            </w:r>
          </w:p>
        </w:tc>
        <w:tc>
          <w:tcPr>
            <w:tcW w:w="0" w:type="dxa"/>
            <w:vAlign w:val="bottom"/>
          </w:tcPr>
          <w:p>
            <w:pPr>
              <w:spacing w:after="0"/>
              <w:rPr>
                <w:sz w:val="1"/>
                <w:szCs w:val="1"/>
                <w:color w:val="auto"/>
              </w:rPr>
            </w:pPr>
          </w:p>
        </w:tc>
      </w:tr>
      <w:tr>
        <w:trPr>
          <w:trHeight w:val="228"/>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Total net loss attributable to Snail Inc.</w:t>
            </w:r>
          </w:p>
        </w:tc>
        <w:tc>
          <w:tcPr>
            <w:tcW w:w="1160" w:type="dxa"/>
            <w:vAlign w:val="bottom"/>
            <w:tcBorders>
              <w:top w:val="single" w:sz="8" w:color="auto"/>
              <w:bottom w:val="single" w:sz="8" w:color="auto"/>
            </w:tcBorders>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(1,946,007</w:t>
            </w:r>
          </w:p>
        </w:tc>
        <w:tc>
          <w:tcPr>
            <w:tcW w:w="180" w:type="dxa"/>
            <w:vAlign w:val="bottom"/>
            <w:tcBorders>
              <w:bottom w:val="single" w:sz="8" w:color="CCEEFF"/>
            </w:tcBorders>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(1,779,329</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9"/>
        </w:trPr>
        <w:tc>
          <w:tcPr>
            <w:tcW w:w="69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Class A weighted average shares outstanding - basic</w:t>
            </w:r>
          </w:p>
        </w:tc>
        <w:tc>
          <w:tcPr>
            <w:tcW w:w="1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8,442,025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7,957,031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Class B weighted average shares outstanding - basic</w:t>
            </w:r>
          </w:p>
        </w:tc>
        <w:tc>
          <w:tcPr>
            <w:tcW w:w="1160" w:type="dxa"/>
            <w:vAlign w:val="bottom"/>
          </w:tcPr>
          <w:p>
            <w:pPr>
              <w:spacing w:after="0"/>
              <w:rPr>
                <w:sz w:val="17"/>
                <w:szCs w:val="17"/>
                <w:color w:val="auto"/>
              </w:rPr>
            </w:pPr>
          </w:p>
        </w:tc>
        <w:tc>
          <w:tcPr>
            <w:tcW w:w="9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28,748,580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28,748,580</w:t>
            </w:r>
          </w:p>
        </w:tc>
        <w:tc>
          <w:tcPr>
            <w:tcW w:w="0" w:type="dxa"/>
            <w:vAlign w:val="bottom"/>
          </w:tcPr>
          <w:p>
            <w:pPr>
              <w:spacing w:after="0"/>
              <w:rPr>
                <w:sz w:val="1"/>
                <w:szCs w:val="1"/>
                <w:color w:val="auto"/>
              </w:rPr>
            </w:pPr>
          </w:p>
        </w:tc>
      </w:tr>
      <w:tr>
        <w:trPr>
          <w:trHeight w:val="188"/>
        </w:trPr>
        <w:tc>
          <w:tcPr>
            <w:tcW w:w="69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A and B basic loss per share</w:t>
            </w:r>
          </w:p>
        </w:tc>
        <w:tc>
          <w:tcPr>
            <w:tcW w:w="1160" w:type="dxa"/>
            <w:vAlign w:val="bottom"/>
            <w:tcBorders>
              <w:top w:val="single" w:sz="8" w:color="auto"/>
              <w:bottom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18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Diluted Loss Per Share:</w:t>
            </w: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attributable to Class A common stockholders</w:t>
            </w:r>
          </w:p>
        </w:tc>
        <w:tc>
          <w:tcPr>
            <w:tcW w:w="1160" w:type="dxa"/>
            <w:vAlign w:val="bottom"/>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(521,393)</w:t>
            </w:r>
          </w:p>
        </w:tc>
        <w:tc>
          <w:tcPr>
            <w:tcW w:w="920" w:type="dxa"/>
            <w:vAlign w:val="bottom"/>
            <w:gridSpan w:val="2"/>
          </w:tcPr>
          <w:p>
            <w:pPr>
              <w:jc w:val="right"/>
              <w:ind w:right="6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(385,722)</w:t>
            </w:r>
          </w:p>
        </w:tc>
        <w:tc>
          <w:tcPr>
            <w:tcW w:w="0" w:type="dxa"/>
            <w:vAlign w:val="bottom"/>
          </w:tcPr>
          <w:p>
            <w:pPr>
              <w:spacing w:after="0"/>
              <w:rPr>
                <w:sz w:val="1"/>
                <w:szCs w:val="1"/>
                <w:color w:val="auto"/>
              </w:rPr>
            </w:pPr>
          </w:p>
        </w:tc>
      </w:tr>
      <w:tr>
        <w:trPr>
          <w:trHeight w:val="159"/>
        </w:trPr>
        <w:tc>
          <w:tcPr>
            <w:tcW w:w="6980" w:type="dxa"/>
            <w:vAlign w:val="bottom"/>
            <w:tcBorders>
              <w:top w:val="single" w:sz="8" w:color="CCEEFF"/>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Net loss attributable to Class B common stockholders</w:t>
            </w:r>
          </w:p>
        </w:tc>
        <w:tc>
          <w:tcPr>
            <w:tcW w:w="1160" w:type="dxa"/>
            <w:vAlign w:val="bottom"/>
            <w:tcBorders>
              <w:top w:val="single" w:sz="8" w:color="auto"/>
              <w:bottom w:val="single" w:sz="8" w:color="auto"/>
            </w:tcBorders>
            <w:shd w:val="clear" w:color="auto" w:fill="CCEEFF"/>
          </w:tcPr>
          <w:p>
            <w:pPr>
              <w:jc w:val="right"/>
              <w:ind w:right="100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(1,775,558</w:t>
            </w:r>
          </w:p>
        </w:tc>
        <w:tc>
          <w:tcPr>
            <w:tcW w:w="18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6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(1,393,607</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Class A weighted average shares outstanding - basic</w:t>
            </w: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8,442,025</w:t>
            </w:r>
          </w:p>
        </w:tc>
        <w:tc>
          <w:tcPr>
            <w:tcW w:w="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7,957,031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Dilutive effects of common stock equivalents</w:t>
            </w:r>
          </w:p>
        </w:tc>
        <w:tc>
          <w:tcPr>
            <w:tcW w:w="1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799,797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Class A weighted average shares outstanding - diluted</w:t>
            </w:r>
          </w:p>
        </w:tc>
        <w:tc>
          <w:tcPr>
            <w:tcW w:w="1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9,241,822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7,957,031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B weighted average shares outstanding - basic</w:t>
            </w:r>
          </w:p>
        </w:tc>
        <w:tc>
          <w:tcPr>
            <w:tcW w:w="1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Dilutive effects of common stock equivalents</w:t>
            </w:r>
          </w:p>
        </w:tc>
        <w:tc>
          <w:tcPr>
            <w:tcW w:w="1160" w:type="dxa"/>
            <w:vAlign w:val="bottom"/>
          </w:tcPr>
          <w:p>
            <w:pPr>
              <w:spacing w:after="0"/>
              <w:rPr>
                <w:sz w:val="17"/>
                <w:szCs w:val="17"/>
                <w:color w:val="auto"/>
              </w:rPr>
            </w:pPr>
          </w:p>
        </w:tc>
        <w:tc>
          <w:tcPr>
            <w:tcW w:w="9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B weighted average shares outstanding - diluted</w:t>
            </w:r>
          </w:p>
        </w:tc>
        <w:tc>
          <w:tcPr>
            <w:tcW w:w="116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Diluted loss per Class A share</w:t>
            </w:r>
          </w:p>
        </w:tc>
        <w:tc>
          <w:tcPr>
            <w:tcW w:w="1160" w:type="dxa"/>
            <w:vAlign w:val="bottom"/>
            <w:tcBorders>
              <w:bottom w:val="single" w:sz="8" w:color="auto"/>
            </w:tcBorders>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80" w:type="dxa"/>
            <w:vAlign w:val="bottom"/>
            <w:tcBorders>
              <w:bottom w:val="single" w:sz="8" w:color="CCEEFF"/>
            </w:tcBorders>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9"/>
        </w:trPr>
        <w:tc>
          <w:tcPr>
            <w:tcW w:w="6980" w:type="dxa"/>
            <w:vAlign w:val="bottom"/>
            <w:tcBorders>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Diluted loss per Class B share</w:t>
            </w:r>
          </w:p>
        </w:tc>
        <w:tc>
          <w:tcPr>
            <w:tcW w:w="1160" w:type="dxa"/>
            <w:vAlign w:val="bottom"/>
            <w:tcBorders>
              <w:bottom w:val="single" w:sz="8" w:color="auto"/>
            </w:tcBorders>
            <w:shd w:val="clear" w:color="auto" w:fill="CCEEFF"/>
          </w:tcPr>
          <w:p>
            <w:pPr>
              <w:jc w:val="right"/>
              <w:ind w:right="100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(0.06</w:t>
            </w:r>
          </w:p>
        </w:tc>
        <w:tc>
          <w:tcPr>
            <w:tcW w:w="18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(0.05</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For the three months ended March 31, 2025 and 2024, the convertible notes were excluded from the calculation of Diluted EPS due to the conversion price being above the Company’s average stock price for the fixed portion while the variable portion was anti dilutive based upon the reversal of the fair value adjustment. The following table provides a listing of shares excluded from the calculation of Diluted EPS due to their anti-dilutive effects: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320" w:type="dxa"/>
            <w:vAlign w:val="bottom"/>
            <w:gridSpan w:val="3"/>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3"/>
        </w:trPr>
        <w:tc>
          <w:tcPr>
            <w:tcW w:w="47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88"/>
        </w:trPr>
        <w:tc>
          <w:tcPr>
            <w:tcW w:w="47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2024</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ind w:left="740"/>
              <w:spacing w:after="0"/>
              <w:rPr>
                <w:sz w:val="20"/>
                <w:szCs w:val="20"/>
                <w:color w:val="auto"/>
              </w:rPr>
            </w:pPr>
            <w:r>
              <w:rPr>
                <w:rFonts w:ascii="Times New Roman" w:cs="Times New Roman" w:eastAsia="Times New Roman" w:hAnsi="Times New Roman"/>
                <w:sz w:val="15"/>
                <w:szCs w:val="15"/>
                <w:b w:val="1"/>
                <w:bCs w:val="1"/>
                <w:color w:val="auto"/>
              </w:rPr>
              <w:t>Method</w:t>
            </w:r>
          </w:p>
        </w:tc>
      </w:tr>
      <w:tr>
        <w:trPr>
          <w:trHeight w:val="17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Excluded Shares:</w:t>
            </w:r>
          </w:p>
        </w:tc>
        <w:tc>
          <w:tcPr>
            <w:tcW w:w="1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15"/>
                <w:szCs w:val="15"/>
                <w:color w:val="auto"/>
              </w:rPr>
            </w:pPr>
          </w:p>
        </w:tc>
      </w:tr>
      <w:tr>
        <w:trPr>
          <w:trHeight w:val="18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Restricted stock units outstanding</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1,129,455</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1,195,456</w:t>
            </w:r>
          </w:p>
        </w:tc>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Treasury</w:t>
            </w:r>
          </w:p>
        </w:tc>
      </w:tr>
      <w:tr>
        <w:trPr>
          <w:trHeight w:val="185"/>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line of credit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367,647</w:t>
            </w: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w:t>
            </w:r>
          </w:p>
        </w:tc>
      </w:tr>
      <w:tr>
        <w:trPr>
          <w:trHeight w:val="18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Underwriters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120,000</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120,000</w:t>
            </w:r>
          </w:p>
        </w:tc>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Treasury</w:t>
            </w:r>
          </w:p>
        </w:tc>
      </w:tr>
      <w:tr>
        <w:trPr>
          <w:trHeight w:val="185"/>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Convertible notes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1,313,632</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1,005,212</w:t>
            </w: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If-Converted</w:t>
            </w:r>
          </w:p>
        </w:tc>
      </w:tr>
      <w:tr>
        <w:trPr>
          <w:trHeight w:val="19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Convertible notes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714,285</w:t>
            </w:r>
          </w:p>
        </w:tc>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Treasury</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17 – EQUITY</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Company has authorized 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one vote. Each share of Class B common stock will be entitled to ten votes and will be convertible into one share of Class A common stock automatically upon transfer, subject to certain exceptions. Holders of Class A common stock and Class B common stock will vote together as a single class on all matters unless otherwise required by law.</w:t>
      </w:r>
    </w:p>
    <w:p>
      <w:pPr>
        <w:spacing w:after="0" w:line="1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In connection with our IPO, on November 9, 2022, the Company issued to the Underwriters warrants to purchase 120,000 shares of Class A common stock (the “Underwriters Warrants”). The Underwriters Warrants may be exercised at a price per share equal to 125% of the IPO price, or $6.25 per share. The Underwriters Warrants are exercisable, in whole or in part, commencing on November 9, 2022, and expiring on the three-year anniversary thereof. The Underwriters Warrants have not been exercised as of the filing of this Quarterly Report.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The Underwriters Warrants are legally detachable and separately exercisable from the Class A common stock; therefore, they meet the definition of freestanding and are not considered embedded in the Firm Shares.</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Underwriters Warrants are considered indexed to the Company’s own stock. Additionally, the Company concludes that the Underwriters Warrants meet all requirements for equity classification. Because the Underwriters Warrants were issued to the Underwriters for their services and can be exercised immediately (subject to certain transfer conditions) they were measured at their fair value on their date of issuance and recorded within stockholders’ equity. As long as the Underwriters Warrants remain classified as equity, they shall not be revalued.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Convertible Note Warrants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On August 24, 2023, the Company issued warrants in connection with its convertible debt for the purchase of 714,285 shares (the “Convertible Note Warrants”). The Convertible Note Warrants are accounted for as liabilities and are included in the accrued expenses and other liabilities in the condensed consolidated balance sheets. The Convertible Note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convertible note warrants allow the Investors to purchase an aggregate of 714,285 shares of the Company’s Class A common stock at an exercise price of $1.89. The warrants can be exercised, subject to certain ownership limitations, in whole or in part during the exercise period commencing on November 24, 2023 and ending on the date that is five years thereafter.</w:t>
      </w:r>
    </w:p>
    <w:p>
      <w:pPr>
        <w:spacing w:after="0" w:line="32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spacing w:after="0" w:line="13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Due to their adjustment provisions, the warrants are classified as a liability on the condensed consolidated balance sheet. In January 2024 there was a conversion which triggered anti-dilutive features of the convertible note warrants, decreasing the exercise price and increasing the number of outstanding convertible notes warrants to 1,607,849. The fair value of the warrants at issuance has been estimated using a Black-Scholes pricing model as of March 31, 2025 and a Monte Carlo pricing model as of December 31, 2024 as follows:</w:t>
      </w:r>
    </w:p>
    <w:p>
      <w:pPr>
        <w:spacing w:after="0" w:line="157"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3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March 31, 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December 31, 2024</w:t>
            </w:r>
          </w:p>
        </w:tc>
      </w:tr>
      <w:tr>
        <w:trPr>
          <w:trHeight w:val="17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price</w:t>
            </w:r>
          </w:p>
        </w:tc>
        <w:tc>
          <w:tcPr>
            <w:tcW w:w="2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w w:val="91"/>
              </w:rPr>
              <w:t>0.88</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w w:val="91"/>
              </w:rPr>
              <w:t>1.86</w:t>
            </w:r>
          </w:p>
        </w:tc>
        <w:tc>
          <w:tcPr>
            <w:tcW w:w="140" w:type="dxa"/>
            <w:vAlign w:val="bottom"/>
            <w:tcBorders>
              <w:top w:val="single" w:sz="8" w:color="CCEEFF"/>
            </w:tcBorders>
            <w:shd w:val="clear" w:color="auto" w:fill="CCEEFF"/>
          </w:tcPr>
          <w:p>
            <w:pPr>
              <w:spacing w:after="0"/>
              <w:rPr>
                <w:sz w:val="15"/>
                <w:szCs w:val="15"/>
                <w:color w:val="auto"/>
              </w:rPr>
            </w:pPr>
          </w:p>
        </w:tc>
      </w:tr>
      <w:tr>
        <w:trPr>
          <w:trHeight w:val="185"/>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21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0.84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0.84</w:t>
            </w:r>
          </w:p>
        </w:tc>
      </w:tr>
      <w:tr>
        <w:trPr>
          <w:trHeight w:val="18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term (years)</w:t>
            </w: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3.65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3.65</w:t>
            </w:r>
          </w:p>
        </w:tc>
      </w:tr>
      <w:tr>
        <w:trPr>
          <w:trHeight w:val="185"/>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80.0%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w w:val="97"/>
              </w:rPr>
              <w:t>60.0%</w:t>
            </w:r>
          </w:p>
        </w:tc>
      </w:tr>
      <w:tr>
        <w:trPr>
          <w:trHeight w:val="18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3.91%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w w:val="97"/>
              </w:rPr>
              <w:t>4.31%</w:t>
            </w:r>
          </w:p>
        </w:tc>
      </w:tr>
    </w:tbl>
    <w:p>
      <w:pPr>
        <w:spacing w:after="0" w:line="170"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Expected volatility is the estimate of the expected volatility of the Company’s Class A common stock, based on the Company’s weekly trading history then reduced by 5% as it is generally accepted that market participants to not pay for the full volatility.</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warrant liability, which uses level 3 inputs, is to be measured at fair value each reporting period with the change in fair value being recognized in other income. The measured fair value may be uncertain due to the use of unobservable inputs. At March 31, 2025 and December 31, 2024, the fair value of the warrant liability was $637,139 and $1,448,109, respectively, and was included in the accrued expenses and other liabilities in the Company’s condensed consolidated balance sheets. The changes in fair value during the three months ended March 31, 2025, amounted to an income of $615,943 included in other income in our condensed consolidated statements of operations and comprehensive loss. The changes in fair value during the three months ended March 31, 2024, amounted to a charge of $5,101 included in other income in our condensed consolidated statements of operations and comprehensive loss.</w:t>
      </w:r>
    </w:p>
    <w:p>
      <w:pPr>
        <w:spacing w:after="0" w:line="1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During the three months ended March 31, 2025, the Investors exercised 189,285 warrants, for which the Company received $159,000 in proceeds and recorded a loss of $128,085 upon revaluation of the exercised warrants. The loss is included in other income in our condensed consolidated statements of operations and comprehensive loss. There were no such exercises during the three months ended March 31, 2024. As of March 31, 2025, 391,664 of the convertible notes warrants have been exercised.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Line Purchase Agreement</w:t>
      </w:r>
    </w:p>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5"/>
          <w:szCs w:val="15"/>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As of March 31, 2025, the Company has not sold any Class A common stock under the Equity Line Purchase Agreement.</w:t>
      </w:r>
    </w:p>
    <w:p>
      <w:pPr>
        <w:spacing w:after="0" w:line="1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registration statement covering the offer and sale of up 15,093,768 shares of Class A common stock was effective on October 10, 2023. The purchase price will be calculated as 92% of the volume weighted average prices of the Company’s common stock during normal trading hours for five business days prior to the closing date with respect of a purchase notice.</w:t>
      </w:r>
    </w:p>
    <w:p>
      <w:pPr>
        <w:spacing w:after="0" w:line="3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Concurrently with the signing of the Equity Line Purchase Agreement, the Company issued the equity line warrant to purchase 367,647 shares of its Class A common stock to the investor as a commitment fee. The total fair value, at the date of issuance, of the equity line warrant of approximately $105,411 was recorded as a liability and deferred offering cost and is included in other assets on our condensed consolidated balance sheets.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Equity Line Warrants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 xml:space="preserve">On August 24, 2023, the Company issued a warrant to an investor (the “Equity Line Warrant”) for the purchase of 367,647 shares of Class A common stock in consideration of the investor’s commitment to purchase Class A common stock. The fair value of the Equity Line Warrant is recorded as a warrant liability and is included in the accrued expenses and other liabilities in the Company’s condensed consolidated balance sheets. The Equity Line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 w:cs="Times New Roman" w:eastAsia="Times New Roman" w:hAnsi="Times New Roman"/>
          <w:sz w:val="15"/>
          <w:szCs w:val="15"/>
          <w:i w:val="1"/>
          <w:iCs w:val="1"/>
          <w:color w:val="auto"/>
        </w:rPr>
        <w:t>“Derivatives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Hedging”</w:t>
      </w:r>
      <w:r>
        <w:rPr>
          <w:rFonts w:ascii="Times New Roman" w:cs="Times New Roman" w:eastAsia="Times New Roman" w:hAnsi="Times New Roman"/>
          <w:sz w:val="15"/>
          <w:szCs w:val="15"/>
          <w:color w:val="auto"/>
        </w:rPr>
        <w:t>.</w:t>
      </w:r>
    </w:p>
    <w:p>
      <w:pPr>
        <w:spacing w:after="0" w:line="340"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Investors warrants allow them to purchase the 367,647 shares of the Company’s Class A common stock for an exercise price of $1.50. The warrants can be exercised, subject to certain ownership limitations, in whole or in part during the exercise period commencing on August 24, 2023 and ending on the date that is five years thereafter.</w:t>
      </w:r>
    </w:p>
    <w:p>
      <w:pPr>
        <w:spacing w:after="0" w:line="13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spacing w:after="0" w:line="13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Due to their adjustment provision, the warrants are classified as a liability on the consolidated balance sheet. The fair value of the warrants has been estimated using a Black-Scholes pricing model as of March 31, 2025 and a Monte Carlo pricing model as of December 31, 2024 as follows:</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3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March 31, 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December 31, 2024</w:t>
            </w:r>
          </w:p>
        </w:tc>
      </w:tr>
      <w:tr>
        <w:trPr>
          <w:trHeight w:val="17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price</w:t>
            </w:r>
          </w:p>
        </w:tc>
        <w:tc>
          <w:tcPr>
            <w:tcW w:w="2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w w:val="91"/>
              </w:rPr>
              <w:t>0.88</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w w:val="91"/>
              </w:rPr>
              <w:t>1.86</w:t>
            </w:r>
          </w:p>
        </w:tc>
        <w:tc>
          <w:tcPr>
            <w:tcW w:w="140" w:type="dxa"/>
            <w:vAlign w:val="bottom"/>
            <w:tcBorders>
              <w:top w:val="single" w:sz="8" w:color="CCEEFF"/>
            </w:tcBorders>
            <w:shd w:val="clear" w:color="auto" w:fill="CCEEFF"/>
          </w:tcPr>
          <w:p>
            <w:pPr>
              <w:spacing w:after="0"/>
              <w:rPr>
                <w:sz w:val="15"/>
                <w:szCs w:val="15"/>
                <w:color w:val="auto"/>
              </w:rPr>
            </w:pPr>
          </w:p>
        </w:tc>
      </w:tr>
      <w:tr>
        <w:trPr>
          <w:trHeight w:val="185"/>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21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1.50</w:t>
            </w:r>
          </w:p>
        </w:tc>
      </w:tr>
      <w:tr>
        <w:trPr>
          <w:trHeight w:val="18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term (years)</w:t>
            </w: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3.40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3.65</w:t>
            </w:r>
          </w:p>
        </w:tc>
      </w:tr>
      <w:tr>
        <w:trPr>
          <w:trHeight w:val="185"/>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85.0%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w w:val="97"/>
              </w:rPr>
              <w:t>60.0%</w:t>
            </w:r>
          </w:p>
        </w:tc>
      </w:tr>
      <w:tr>
        <w:trPr>
          <w:trHeight w:val="18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3.90%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w w:val="97"/>
              </w:rPr>
              <w:t>4.31%</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Expected volatility is the estimate of the expected volatility of the Company’s Class A common stock, based on the Company’s weekly trading history then reduced by 5%.</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warrant liability, which uses level 3 inputs, is to be measured at fair value at each reporting period and with the change in fair value being recognized in earnings. The measured fair value may be uncertain due to the use of unobservable inputs. At March 31, 2025 and December 31, 2024, the fair value of the warrant liability was $140,343 and $292,004 respectively, and included in the accrued expenses and other liabilities in the Company’s condensed consolidated balance sheets. The changes in fair value during the three months ended March 31, 2025 and 2024, amounted to income of $151,661 and $9,620, respectively, and is included in other income in our condensed consolidated statements of operations and comprehensive loss. As of March 31, 2025, 33,333 warrants have been exercised.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Units (“RSUs”)</w:t>
      </w:r>
    </w:p>
    <w:p>
      <w:pPr>
        <w:spacing w:after="0" w:line="2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RSUs granted to directors vest based on the directors’ continued employment with us through each applicable vest date, which is generally over one year. If the vesting conditions are not met, unvested RSUs will be forfeited. There was no RSU units’ activity with directors for the three months ended March 31, 2025. The following table summarizes our RSU units’ activity with directors for the three months ended March 31, 2024.</w:t>
      </w:r>
    </w:p>
    <w:p>
      <w:pPr>
        <w:spacing w:after="0" w:line="142"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Weighted-</w:t>
            </w:r>
          </w:p>
        </w:tc>
      </w:tr>
      <w:tr>
        <w:trPr>
          <w:trHeight w:val="185"/>
        </w:trPr>
        <w:tc>
          <w:tcPr>
            <w:tcW w:w="5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5"/>
        </w:trPr>
        <w:tc>
          <w:tcPr>
            <w:tcW w:w="5600" w:type="dxa"/>
            <w:vAlign w:val="bottom"/>
          </w:tcPr>
          <w:p>
            <w:pPr>
              <w:spacing w:after="0"/>
              <w:rPr>
                <w:sz w:val="16"/>
                <w:szCs w:val="16"/>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Grant-Date</w:t>
            </w:r>
          </w:p>
        </w:tc>
      </w:tr>
      <w:tr>
        <w:trPr>
          <w:trHeight w:val="203"/>
        </w:trPr>
        <w:tc>
          <w:tcPr>
            <w:tcW w:w="5600" w:type="dxa"/>
            <w:vAlign w:val="bottom"/>
          </w:tcPr>
          <w:p>
            <w:pPr>
              <w:spacing w:after="0"/>
              <w:rPr>
                <w:sz w:val="17"/>
                <w:szCs w:val="17"/>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Fair Values</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43,478</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Borders>
              <w:top w:val="single" w:sz="8" w:color="CCEEFF"/>
            </w:tcBorders>
            <w:shd w:val="clear" w:color="auto" w:fill="CCEEFF"/>
          </w:tcPr>
          <w:p>
            <w:pPr>
              <w:spacing w:after="0"/>
              <w:rPr>
                <w:sz w:val="15"/>
                <w:szCs w:val="15"/>
                <w:color w:val="auto"/>
              </w:rPr>
            </w:pPr>
          </w:p>
        </w:tc>
      </w:tr>
      <w:tr>
        <w:trPr>
          <w:trHeight w:val="185"/>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(10,869)</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3.87</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March 31, 2024</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32,609</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Borders>
              <w:top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grant date fair value of RSUs granted to directors is based on the quoted market price of our common stock on the date of grant.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5 years, with awards cliff-vesting after each annual measurement period during the total aggregate measurement period.</w:t>
      </w:r>
    </w:p>
    <w:p>
      <w:pPr>
        <w:spacing w:after="0" w:line="1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spacing w:after="0" w:line="32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The following table summarizes our PSU activity with employees, presented with the maximum number of shares that could potentially vest, for the three months ended March 31, 2025 and 2024.</w:t>
      </w:r>
    </w:p>
    <w:p>
      <w:pPr>
        <w:spacing w:after="0" w:line="129"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Weighted-</w:t>
            </w:r>
          </w:p>
        </w:tc>
      </w:tr>
      <w:tr>
        <w:trPr>
          <w:trHeight w:val="185"/>
        </w:trPr>
        <w:tc>
          <w:tcPr>
            <w:tcW w:w="5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5"/>
        </w:trPr>
        <w:tc>
          <w:tcPr>
            <w:tcW w:w="5600" w:type="dxa"/>
            <w:vAlign w:val="bottom"/>
          </w:tcPr>
          <w:p>
            <w:pPr>
              <w:spacing w:after="0"/>
              <w:rPr>
                <w:sz w:val="16"/>
                <w:szCs w:val="16"/>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Grant-Date</w:t>
            </w:r>
          </w:p>
        </w:tc>
      </w:tr>
      <w:tr>
        <w:trPr>
          <w:trHeight w:val="203"/>
        </w:trPr>
        <w:tc>
          <w:tcPr>
            <w:tcW w:w="5600" w:type="dxa"/>
            <w:vAlign w:val="bottom"/>
          </w:tcPr>
          <w:p>
            <w:pPr>
              <w:spacing w:after="0"/>
              <w:rPr>
                <w:sz w:val="17"/>
                <w:szCs w:val="17"/>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Fair Values</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1,142,284</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r>
        <w:trPr>
          <w:trHeight w:val="185"/>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(12,829)</w:t>
            </w:r>
          </w:p>
        </w:tc>
        <w:tc>
          <w:tcPr>
            <w:tcW w:w="22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March 31, 2025</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1,129,455</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r>
        <w:trPr>
          <w:trHeight w:val="342"/>
        </w:trPr>
        <w:tc>
          <w:tcPr>
            <w:tcW w:w="5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Weighted-</w:t>
            </w:r>
          </w:p>
        </w:tc>
      </w:tr>
      <w:tr>
        <w:trPr>
          <w:trHeight w:val="185"/>
        </w:trPr>
        <w:tc>
          <w:tcPr>
            <w:tcW w:w="5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5"/>
        </w:trPr>
        <w:tc>
          <w:tcPr>
            <w:tcW w:w="5600" w:type="dxa"/>
            <w:vAlign w:val="bottom"/>
          </w:tcPr>
          <w:p>
            <w:pPr>
              <w:spacing w:after="0"/>
              <w:rPr>
                <w:sz w:val="16"/>
                <w:szCs w:val="16"/>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Grant-Date</w:t>
            </w:r>
          </w:p>
        </w:tc>
      </w:tr>
      <w:tr>
        <w:trPr>
          <w:trHeight w:val="203"/>
        </w:trPr>
        <w:tc>
          <w:tcPr>
            <w:tcW w:w="5600" w:type="dxa"/>
            <w:vAlign w:val="bottom"/>
          </w:tcPr>
          <w:p>
            <w:pPr>
              <w:spacing w:after="0"/>
              <w:rPr>
                <w:sz w:val="17"/>
                <w:szCs w:val="17"/>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Fair Values</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1,165,247</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r>
        <w:trPr>
          <w:trHeight w:val="185"/>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(2,400)</w:t>
            </w:r>
          </w:p>
        </w:tc>
        <w:tc>
          <w:tcPr>
            <w:tcW w:w="22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March 31, 2024</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1,162,847</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grant date fair value of PSUs granted to employees is based on the quoted market price of our common stock on the date of grant.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Repurchase Activity</w:t>
      </w:r>
    </w:p>
    <w:p>
      <w:pPr>
        <w:spacing w:after="0" w:line="2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As of March 31, 2025,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were no share repurchases made during the three months ended March 31, 2025 and March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 (Income)</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During the three months ended March 31, 2024, the Company determined that it is probable that the Company will not meet the performance-based milestones required by the RSU’s granted to employees. Conversely, during the three months ended March 31, 2025, the Company determined that it is probable it will meet the performance-based milestones required by said RSU’s. Accordingly, the Company reversed the previously recognized compensation expense related to RSU’s during the three months ended March 31, 2024, then recognized a proportionate expense for the revised performance milestone. Stock-based compensation expense (income) resulting from RSUs and PSUs of $788,177 and $(862,634) are recorded under general and administrative expenses included in our condensed consolidated statements of operations and comprehensive loss for the three months ended March 31, 2025 and 2024, respectively. Stock-based compensation expense (income) resulting from PSUs of $55,442 and $(64,241) are recorded under research and development expenses included in our condensed consolidated statements of operations and comprehensive loss for the three months ended March 31, 2025 and 2024, respectively.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2"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During the three months ended March 31, 2025 and 2024, the Company recognized approximately $175,291 of deferred income tax expense, and $194,644 of deferred income tax expense, respectively, related to our stock-based compensation expense.</w:t>
      </w:r>
    </w:p>
    <w:p>
      <w:pPr>
        <w:spacing w:after="0" w:line="13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As of March 31, 2025, our total unrecognized compensation cost related to RSUs and PSUs was approximately $1.0 million and is expected to be recognized over a weighted-average service period of 1.7 years.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18 – OPERATING SEGMENTS</w:t>
      </w:r>
    </w:p>
    <w:p>
      <w:pPr>
        <w:spacing w:after="0" w:line="20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The Company’s Chief Operating Decision Maker (“CODM”) is our Founder, Co-Chief Executive Officer, Chief Strategy Officer, and Chairman Mr. Hai Shi. The CODM assesses performance and decides how to allocate resources based on net loss to evaluate operational efficiency and direct resources of the Company. Segment assets are reported on the condensed consolidated balance sheets as total assets. The table below presents segment revenue, operating profit and significant expenses for the three months ended March 31, 2025 and 2024: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34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5"/>
                <w:szCs w:val="15"/>
                <w:b w:val="1"/>
                <w:bCs w:val="1"/>
                <w:i w:val="1"/>
                <w:iCs w:val="1"/>
                <w:color w:val="auto"/>
              </w:rPr>
              <w:t>Three months ended March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69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69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20,110,872</w:t>
            </w:r>
          </w:p>
        </w:tc>
        <w:tc>
          <w:tcPr>
            <w:tcW w:w="13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14,115,729</w:t>
            </w: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14,263,345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12,041,698</w:t>
            </w:r>
          </w:p>
        </w:tc>
      </w:tr>
      <w:tr>
        <w:trPr>
          <w:trHeight w:val="176"/>
        </w:trPr>
        <w:tc>
          <w:tcPr>
            <w:tcW w:w="6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5,847,527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2,074,031</w:t>
            </w:r>
          </w:p>
        </w:tc>
        <w:tc>
          <w:tcPr>
            <w:tcW w:w="100" w:type="dxa"/>
            <w:vAlign w:val="bottom"/>
          </w:tcPr>
          <w:p>
            <w:pPr>
              <w:spacing w:after="0"/>
              <w:rPr>
                <w:sz w:val="17"/>
                <w:szCs w:val="17"/>
                <w:color w:val="auto"/>
              </w:rPr>
            </w:pPr>
          </w:p>
        </w:tc>
      </w:tr>
      <w:tr>
        <w:trPr>
          <w:trHeight w:val="176"/>
        </w:trPr>
        <w:tc>
          <w:tcPr>
            <w:tcW w:w="69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Salaries and Wages</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2,599,493</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542,389</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Public Company Expenses</w:t>
            </w:r>
          </w:p>
        </w:tc>
        <w:tc>
          <w:tcPr>
            <w:tcW w:w="1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163,506</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100,650</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2,201,352</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1,639,001</w:t>
            </w:r>
          </w:p>
        </w:tc>
        <w:tc>
          <w:tcPr>
            <w:tcW w:w="100" w:type="dxa"/>
            <w:vAlign w:val="bottom"/>
            <w:shd w:val="clear" w:color="auto" w:fill="CCEEFF"/>
          </w:tcPr>
          <w:p>
            <w:pPr>
              <w:spacing w:after="0"/>
              <w:rPr>
                <w:sz w:val="16"/>
                <w:szCs w:val="16"/>
                <w:color w:val="auto"/>
              </w:rPr>
            </w:pPr>
          </w:p>
        </w:tc>
      </w:tr>
      <w:tr>
        <w:trPr>
          <w:trHeight w:val="185"/>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3,609,745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1,776,522</w:t>
            </w:r>
          </w:p>
        </w:tc>
        <w:tc>
          <w:tcPr>
            <w:tcW w:w="100" w:type="dxa"/>
            <w:vAlign w:val="bottom"/>
          </w:tcPr>
          <w:p>
            <w:pPr>
              <w:spacing w:after="0"/>
              <w:rPr>
                <w:sz w:val="16"/>
                <w:szCs w:val="16"/>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1,306,365</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141,030</w:t>
            </w:r>
          </w:p>
        </w:tc>
        <w:tc>
          <w:tcPr>
            <w:tcW w:w="100" w:type="dxa"/>
            <w:vAlign w:val="bottom"/>
            <w:shd w:val="clear" w:color="auto" w:fill="CCEEFF"/>
          </w:tcPr>
          <w:p>
            <w:pPr>
              <w:spacing w:after="0"/>
              <w:rPr>
                <w:sz w:val="16"/>
                <w:szCs w:val="16"/>
                <w:color w:val="auto"/>
              </w:rPr>
            </w:pPr>
          </w:p>
        </w:tc>
      </w:tr>
      <w:tr>
        <w:trPr>
          <w:trHeight w:val="196"/>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w:t>
            </w:r>
          </w:p>
        </w:tc>
        <w:tc>
          <w:tcPr>
            <w:tcW w:w="1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67,904</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82,338</w:t>
            </w:r>
          </w:p>
        </w:tc>
      </w:tr>
      <w:tr>
        <w:trPr>
          <w:trHeight w:val="176"/>
        </w:trPr>
        <w:tc>
          <w:tcPr>
            <w:tcW w:w="69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9,948,365</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4,281,930</w:t>
            </w:r>
          </w:p>
        </w:tc>
        <w:tc>
          <w:tcPr>
            <w:tcW w:w="100" w:type="dxa"/>
            <w:vAlign w:val="bottom"/>
            <w:tcBorders>
              <w:top w:val="single" w:sz="8" w:color="CCEEFF"/>
            </w:tcBorders>
            <w:shd w:val="clear" w:color="auto" w:fill="CCEEFF"/>
          </w:tcPr>
          <w:p>
            <w:pPr>
              <w:spacing w:after="0"/>
              <w:rPr>
                <w:sz w:val="15"/>
                <w:szCs w:val="15"/>
                <w:color w:val="auto"/>
              </w:rPr>
            </w:pPr>
          </w:p>
        </w:tc>
      </w:tr>
      <w:tr>
        <w:trPr>
          <w:trHeight w:val="176"/>
        </w:trPr>
        <w:tc>
          <w:tcPr>
            <w:tcW w:w="6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(4,100,838)</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(2,207,899)</w:t>
            </w:r>
          </w:p>
        </w:tc>
      </w:tr>
      <w:tr>
        <w:trPr>
          <w:trHeight w:val="176"/>
        </w:trPr>
        <w:tc>
          <w:tcPr>
            <w:tcW w:w="69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683,045</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(50,509)</w:t>
            </w:r>
          </w:p>
        </w:tc>
      </w:tr>
      <w:tr>
        <w:trPr>
          <w:trHeight w:val="176"/>
        </w:trPr>
        <w:tc>
          <w:tcPr>
            <w:tcW w:w="69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benefit from income taxes</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(3,417,793)</w:t>
            </w:r>
          </w:p>
        </w:tc>
        <w:tc>
          <w:tcPr>
            <w:tcW w:w="13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(2,258,408)</w:t>
            </w:r>
          </w:p>
        </w:tc>
      </w:tr>
      <w:tr>
        <w:trPr>
          <w:trHeight w:val="185"/>
        </w:trPr>
        <w:tc>
          <w:tcPr>
            <w:tcW w:w="6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Benefit from income taxes</w:t>
            </w: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(1,470,830)</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(477,950)</w:t>
            </w:r>
          </w:p>
        </w:tc>
      </w:tr>
      <w:tr>
        <w:trPr>
          <w:trHeight w:val="176"/>
        </w:trPr>
        <w:tc>
          <w:tcPr>
            <w:tcW w:w="69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(1,946,963)</w:t>
            </w:r>
          </w:p>
        </w:tc>
        <w:tc>
          <w:tcPr>
            <w:tcW w:w="13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(1,780,458)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Depreciation and amortization expense is consistent with those presented in the condensed consolidated statements of cash flows. There are no additional segment items requiring separate disclosure. Interest income, interest expense, other income and foreign currency transactions are captured in the total other income (expense), net line item. The Company continues to report revenue by geographic region as part of its revenue disclosures, see Note 3 –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xml:space="preserve"> The CFO provides reports to the CODM for key decision making purposes.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19 – SUBSEQUENT EVENTS</w:t>
      </w:r>
    </w:p>
    <w:p>
      <w:pPr>
        <w:spacing w:after="0" w:line="201" w:lineRule="exact"/>
        <w:rPr>
          <w:sz w:val="20"/>
          <w:szCs w:val="20"/>
          <w:color w:val="auto"/>
        </w:rPr>
      </w:pPr>
    </w:p>
    <w:p>
      <w:pPr>
        <w:ind w:left="540" w:right="20" w:hanging="271"/>
        <w:spacing w:after="0" w:line="266"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2025 the Company entered into a memorandum of understanding with Mega Matrix Inc. for the joint development, production, and global distribution of short dramas.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97"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The following discussion and analysis should be read in conjunction with our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Part 1A of the Company’s Form 10-K for the year ended December 31, 2024, and the “Cautionary Statement Regarding Forward-Looking Statements” section of this Quarterly Report</w:t>
      </w:r>
      <w:r>
        <w:rPr>
          <w:rFonts w:ascii="Times New Roman" w:cs="Times New Roman" w:eastAsia="Times New Roman" w:hAnsi="Times New Roman"/>
          <w:sz w:val="15"/>
          <w:szCs w:val="15"/>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201"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has been a top-25 selling game on the Steam platform by gross revenue in each year we released an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is a leader within the sandbox survival genre with 96.3 million console and PC installs through March 31, 2025 and repeated releases within the top-25 selling games on the Steam platform. See below for discussion of key performance metrics and non-GAAP measures. In the three months ended March 31, 2025,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combined for an average total of 243,000 daily active users (“DAUs”) on the Steam and Epic platforms, as compared to 209,000 in the three months ended March 31, 2024, respectively. We define “daily active users” as the number of unique users who play any given game on any given day. For the three months ended March 31, 2025 and 2024, we generated 91.6% and 78.6%, respectively, of our revenues from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w:t>
      </w:r>
    </w:p>
    <w:p>
      <w:pPr>
        <w:spacing w:after="0" w:line="343"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 xml:space="preserve">Our dedication to providing audiences with high-quality entertainment experiences utilizing the latest gaming technology has produced strong user engagement, continued revenue growth, and increased cash flows. Through March 31, 2025,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game has been played for 4.0 billion hours with an average playing time per user of 162 hours and with the top 21.3% of all players spending over 100 hours in the game, according to data from the Steam platform. For the three months ended March 31, 2025 and 2024, our net revenue was $20.1 million and $14.1 million, respectively. During the three months ended March 31, 2025, approximately 41.3% of our revenue came from consoles, 44.8% from PC and 11.7% from mobile and other platforms as compared to 42.5% from consoles, 36.2% from PC and 6.8% from mobile and other platforms during the three months ended March, 31, 2024. We had a net loss of $1.9 million and $1.8 million, for the three months ended March 31, 2025 and 2024, respectively.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color w:val="auto"/>
        </w:rPr>
        <w:t>Key Factors Affecting Our Business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 are a number of factors that affect the performance of our business, and the comparability of our results from period to period, including:</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Investments in our content strategy</w:t>
      </w:r>
    </w:p>
    <w:p>
      <w:pPr>
        <w:spacing w:after="0" w:line="20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by attracting new influencers and brand customers. We have established a new division internally under the Interactive Films brand. This division will focus on creating content in the vertical short film segment of the digital entertainment market. The mobile application has already soft launched on iOS and Android platforms. We have released forty-nine short film dramas and expect a consistent roll out of new short film dramas.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Growth of user base</w:t>
      </w:r>
    </w:p>
    <w:p>
      <w:pPr>
        <w:spacing w:after="0" w:line="201"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 xml:space="preserve">We have experienced significant growth in our number of downloads over the last several years. We have sold 51.5 million units between January 1, 2016 and March 31, 2025. During the three months ended March 31, 2025, we sold 1.5 million units compared to 1.1 million in the three months ended March 31, 2024.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is our master game and </w:t>
      </w:r>
      <w:r>
        <w:rPr>
          <w:rFonts w:ascii="Times New Roman" w:cs="Times New Roman" w:eastAsia="Times New Roman" w:hAnsi="Times New Roman"/>
          <w:sz w:val="15"/>
          <w:szCs w:val="15"/>
          <w:i w:val="1"/>
          <w:iCs w:val="1"/>
          <w:color w:val="auto"/>
        </w:rPr>
        <w:t>ARK: Genesis</w:t>
      </w:r>
      <w:r>
        <w:rPr>
          <w:rFonts w:ascii="Times New Roman" w:cs="Times New Roman" w:eastAsia="Times New Roman" w:hAnsi="Times New Roman"/>
          <w:sz w:val="15"/>
          <w:szCs w:val="15"/>
          <w:color w:val="auto"/>
        </w:rPr>
        <w:t xml:space="preserve"> is a DLC.</w:t>
      </w:r>
    </w:p>
    <w:p>
      <w:pPr>
        <w:spacing w:after="0" w:line="154"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Investments in our technology platform</w:t>
      </w:r>
    </w:p>
    <w:p>
      <w:pPr>
        <w:spacing w:after="0" w:line="201"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 xml:space="preserve">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 Furthermore, to accompany our entry into the vertical short film market, we have developed a distribution platform, the </w:t>
      </w:r>
      <w:r>
        <w:rPr>
          <w:rFonts w:ascii="Times New Roman" w:cs="Times New Roman" w:eastAsia="Times New Roman" w:hAnsi="Times New Roman"/>
          <w:sz w:val="15"/>
          <w:szCs w:val="15"/>
          <w:i w:val="1"/>
          <w:iCs w:val="1"/>
          <w:color w:val="auto"/>
        </w:rPr>
        <w:t>Salty TV</w:t>
      </w:r>
      <w:r>
        <w:rPr>
          <w:rFonts w:ascii="Times New Roman" w:cs="Times New Roman" w:eastAsia="Times New Roman" w:hAnsi="Times New Roman"/>
          <w:sz w:val="15"/>
          <w:szCs w:val="15"/>
          <w:color w:val="auto"/>
        </w:rPr>
        <w:t xml:space="preserve"> mobile application that allows users to access the content on demand.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Ability to release content, market effectively through cross media and expand the gaming group</w:t>
      </w:r>
    </w:p>
    <w:p>
      <w:pPr>
        <w:spacing w:after="0" w:line="20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Strategic relationship with developers, Studio Wildcard &amp; Suzhou Snail</w:t>
      </w:r>
    </w:p>
    <w:p>
      <w:pPr>
        <w:spacing w:after="0" w:line="20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We have an exclusive license with Studio Wildcard for rights to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Relationship with third party distribution platforms</w:t>
      </w:r>
    </w:p>
    <w:p>
      <w:pPr>
        <w:spacing w:after="0" w:line="20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We derive nearly all of our revenue from third-party distribution platforms, these include but are not limited to,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Seasonality</w:t>
      </w:r>
    </w:p>
    <w:p>
      <w:pPr>
        <w:spacing w:after="0" w:line="20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Recent Developments</w:t>
      </w:r>
    </w:p>
    <w:p>
      <w:pPr>
        <w:spacing w:after="0" w:line="197" w:lineRule="exact"/>
        <w:rPr>
          <w:sz w:val="20"/>
          <w:szCs w:val="20"/>
          <w:color w:val="auto"/>
        </w:rPr>
      </w:pPr>
    </w:p>
    <w:p>
      <w:pPr>
        <w:jc w:val="both"/>
        <w:ind w:firstLine="277"/>
        <w:spacing w:after="0" w:line="278" w:lineRule="auto"/>
        <w:rPr>
          <w:sz w:val="20"/>
          <w:szCs w:val="20"/>
          <w:color w:val="auto"/>
        </w:rPr>
      </w:pPr>
      <w:r>
        <w:rPr>
          <w:rFonts w:ascii="Times New Roman" w:cs="Times New Roman" w:eastAsia="Times New Roman" w:hAnsi="Times New Roman"/>
          <w:sz w:val="15"/>
          <w:szCs w:val="15"/>
          <w:color w:val="auto"/>
        </w:rPr>
        <w:t xml:space="preserve">In February 2025, we released a brand new DLC map for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ARK: Astraeos. This expansive Greek methodology map offers over 264-square kilometers of playable area, filled with stunning scenery, ancient ruins, sacred temples, and powerful new bosses. Since release, we sold 253K units across Steam, PlayStation, and Xbox. We have also completed two new game acquisitions through our gaming network and partners as part of the larger effort to expand our games portfolio.</w:t>
      </w:r>
    </w:p>
    <w:p>
      <w:pPr>
        <w:spacing w:after="0" w:line="139"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 xml:space="preserve">At GDC 2025, we officially announced the 10-year celebration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with a brand new DLC, ARK: Aquatica, set to release in June 2025. The new non-canonical expansion map features an ambitious underwater setting where 95% of gameplay will take place beneath the surface. For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w:t>
      </w:r>
      <w:r>
        <w:rPr>
          <w:rFonts w:ascii="Times New Roman" w:cs="Times New Roman" w:eastAsia="Times New Roman" w:hAnsi="Times New Roman"/>
          <w:sz w:val="15"/>
          <w:szCs w:val="15"/>
          <w:color w:val="auto"/>
        </w:rPr>
        <w:t>e announced a new full-size canonical expansion that sets in a frozen world where players follow legendary survivor Mei Yin on a perilous quest to uncover ARK’s buried secrets. Furthermore, we announced Bellwright will be released on the Xbox platform as a next step to broaden the game’s exposure and player base. We have also debut teaser trailers for two in-house developed projects, Nine Yin Sutra: Wushu and Nine Yin Sutra: Immortal. These two original titles invite players into vast, immersive worlds shaped by martial arts mastery and cultivation.</w:t>
      </w:r>
    </w:p>
    <w:p>
      <w:pPr>
        <w:spacing w:after="0" w:line="3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 xml:space="preserve">To bring more entertainment to our users, our short film mobile application, </w:t>
      </w:r>
      <w:r>
        <w:rPr>
          <w:rFonts w:ascii="Times New Roman" w:cs="Times New Roman" w:eastAsia="Times New Roman" w:hAnsi="Times New Roman"/>
          <w:sz w:val="15"/>
          <w:szCs w:val="15"/>
          <w:i w:val="1"/>
          <w:iCs w:val="1"/>
          <w:color w:val="auto"/>
        </w:rPr>
        <w:t>Salty TV</w:t>
      </w:r>
      <w:r>
        <w:rPr>
          <w:rFonts w:ascii="Times New Roman" w:cs="Times New Roman" w:eastAsia="Times New Roman" w:hAnsi="Times New Roman"/>
          <w:sz w:val="15"/>
          <w:szCs w:val="15"/>
          <w:color w:val="auto"/>
        </w:rPr>
        <w:t>, brings exclusive, original stories from heart-racing thrillers to jaw-dropping romances to our viewers. We have released forty-nine short film dramas through March 31, 2025 and expect a consistent roll out of new short film dramas throughout 2025 and beyond. In a strategic step forward in advancing the short-film business line, Snail Inc. subsidiary Interactive Films signed a Memorandum of Understanding (MOU) with Mega Matrix Inc. (NYSE American: MPU) for a joint development, production, and global distribution of short dramas.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color w:val="auto"/>
        </w:rPr>
        <w:t>Components of Results of Operations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201"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record deferred revenue when payments are due or received in advance of the fulfillment of our associated performance obligations.</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20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unaudited condensed consolidated financial statements included in this Quarterly Report. We generally expect cost of revenues to fluctuate proportionately with revenues.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20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as we increase headcount when expanding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 and the inflationary pressures of recent years.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20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Research and development consists primarily of consulting expenses and salaries and wages devoted towards the development of new games and related technologies and development costs outsourced through Suzhou Snail. We do not fund or enter into arrangements relating to the research and development activities from third-party developers from whom we license games. We expect our research and development to increase as we develop new content, games or technologies.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w:t>
      </w:r>
    </w:p>
    <w:p>
      <w:pPr>
        <w:spacing w:after="0" w:line="201" w:lineRule="exact"/>
        <w:rPr>
          <w:sz w:val="20"/>
          <w:szCs w:val="20"/>
          <w:color w:val="auto"/>
        </w:rPr>
      </w:pPr>
    </w:p>
    <w:p>
      <w:pPr>
        <w:jc w:val="both"/>
        <w:ind w:right="20" w:firstLine="277"/>
        <w:spacing w:after="0" w:line="269" w:lineRule="auto"/>
        <w:rPr>
          <w:sz w:val="20"/>
          <w:szCs w:val="20"/>
          <w:color w:val="auto"/>
        </w:rPr>
      </w:pPr>
      <w:r>
        <w:rPr>
          <w:rFonts w:ascii="Times New Roman" w:cs="Times New Roman" w:eastAsia="Times New Roman" w:hAnsi="Times New Roman"/>
          <w:sz w:val="15"/>
          <w:szCs w:val="15"/>
          <w:color w:val="auto"/>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Benefit from income taxes</w:t>
      </w:r>
    </w:p>
    <w:p>
      <w:pPr>
        <w:spacing w:after="0" w:line="20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The benefit from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43% differed from the federal statutory rate of 21% due to permanent differences and state taxes.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March 31, 2025 versus the three months ended March 31,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gridSpan w:val="3"/>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4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gridSpan w:val="2"/>
          </w:tcPr>
          <w:p>
            <w:pPr>
              <w:jc w:val="right"/>
              <w:ind w:right="702"/>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640" w:type="dxa"/>
            <w:vAlign w:val="bottom"/>
            <w:gridSpan w:val="2"/>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92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20.1</w:t>
            </w: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5"/>
                <w:szCs w:val="15"/>
                <w:color w:val="auto"/>
              </w:rPr>
              <w:t>14.1</w:t>
            </w: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3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r>
      <w:tr>
        <w:trPr>
          <w:trHeight w:val="196"/>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revenues</w:t>
            </w:r>
          </w:p>
        </w:tc>
        <w:tc>
          <w:tcPr>
            <w:tcW w:w="920" w:type="dxa"/>
            <w:vAlign w:val="bottom"/>
          </w:tcPr>
          <w:p>
            <w:pPr>
              <w:spacing w:after="0"/>
              <w:rPr>
                <w:sz w:val="17"/>
                <w:szCs w:val="17"/>
                <w:color w:val="auto"/>
              </w:rPr>
            </w:pPr>
          </w:p>
        </w:tc>
        <w:tc>
          <w:tcPr>
            <w:tcW w:w="860" w:type="dxa"/>
            <w:vAlign w:val="bottom"/>
            <w:gridSpan w:val="2"/>
          </w:tcPr>
          <w:p>
            <w:pPr>
              <w:jc w:val="right"/>
              <w:ind w:right="243"/>
              <w:spacing w:after="0"/>
              <w:rPr>
                <w:sz w:val="20"/>
                <w:szCs w:val="20"/>
                <w:color w:val="auto"/>
              </w:rPr>
            </w:pPr>
            <w:r>
              <w:rPr>
                <w:rFonts w:ascii="Times New Roman" w:cs="Times New Roman" w:eastAsia="Times New Roman" w:hAnsi="Times New Roman"/>
                <w:sz w:val="15"/>
                <w:szCs w:val="15"/>
                <w:color w:val="auto"/>
              </w:rPr>
              <w:t>14.3</w:t>
            </w:r>
          </w:p>
        </w:tc>
        <w:tc>
          <w:tcPr>
            <w:tcW w:w="1040" w:type="dxa"/>
            <w:vAlign w:val="bottom"/>
          </w:tcPr>
          <w:p>
            <w:pPr>
              <w:spacing w:after="0"/>
              <w:rPr>
                <w:sz w:val="17"/>
                <w:szCs w:val="17"/>
                <w:color w:val="auto"/>
              </w:rPr>
            </w:pPr>
          </w:p>
        </w:tc>
        <w:tc>
          <w:tcPr>
            <w:tcW w:w="740" w:type="dxa"/>
            <w:vAlign w:val="bottom"/>
            <w:gridSpan w:val="2"/>
          </w:tcPr>
          <w:p>
            <w:pPr>
              <w:jc w:val="right"/>
              <w:ind w:right="282"/>
              <w:spacing w:after="0"/>
              <w:rPr>
                <w:sz w:val="20"/>
                <w:szCs w:val="20"/>
                <w:color w:val="auto"/>
              </w:rPr>
            </w:pPr>
            <w:r>
              <w:rPr>
                <w:rFonts w:ascii="Times New Roman" w:cs="Times New Roman" w:eastAsia="Times New Roman" w:hAnsi="Times New Roman"/>
                <w:sz w:val="15"/>
                <w:szCs w:val="15"/>
                <w:color w:val="auto"/>
              </w:rPr>
              <w:t>12.1</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32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18.4%</w:t>
            </w:r>
          </w:p>
        </w:tc>
      </w:tr>
      <w:tr>
        <w:trPr>
          <w:trHeight w:val="17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3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181.9</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3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117.5%</w:t>
            </w:r>
          </w:p>
        </w:tc>
      </w:tr>
      <w:tr>
        <w:trPr>
          <w:trHeight w:val="185"/>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32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103.2%</w:t>
            </w:r>
          </w:p>
        </w:tc>
      </w:tr>
      <w:tr>
        <w:trPr>
          <w:trHeight w:val="18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3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826.3%</w:t>
            </w:r>
          </w:p>
        </w:tc>
      </w:tr>
      <w:tr>
        <w:trPr>
          <w:trHeight w:val="196"/>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(17.5)%</w:t>
            </w:r>
          </w:p>
        </w:tc>
      </w:tr>
      <w:tr>
        <w:trPr>
          <w:trHeight w:val="176"/>
        </w:trPr>
        <w:tc>
          <w:tcPr>
            <w:tcW w:w="4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3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3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132.3</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 from operations</w:t>
            </w:r>
          </w:p>
        </w:tc>
        <w:tc>
          <w:tcPr>
            <w:tcW w:w="92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w:t>
            </w:r>
          </w:p>
        </w:tc>
        <w:tc>
          <w:tcPr>
            <w:tcW w:w="320" w:type="dxa"/>
            <w:vAlign w:val="bottom"/>
          </w:tcPr>
          <w:p>
            <w:pPr>
              <w:jc w:val="right"/>
              <w:ind w:right="2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w:t>
            </w:r>
          </w:p>
        </w:tc>
        <w:tc>
          <w:tcPr>
            <w:tcW w:w="320" w:type="dxa"/>
            <w:vAlign w:val="bottom"/>
          </w:tcPr>
          <w:p>
            <w:pPr>
              <w:jc w:val="right"/>
              <w:ind w:right="2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85.7</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4"/>
        </w:trPr>
        <w:tc>
          <w:tcPr>
            <w:tcW w:w="4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83" w:right="319"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20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 xml:space="preserve">Net revenues for the three months ended March 31, 2025 increased by $6.0 million, or 42.5%, compared to the three months ended March 31, 2024. The increase in net revenues was due to an increase in total Ark sales of $2.7 million, an increase in sales of the </w:t>
      </w:r>
      <w:r>
        <w:rPr>
          <w:rFonts w:ascii="Times New Roman" w:cs="Times New Roman" w:eastAsia="Times New Roman" w:hAnsi="Times New Roman"/>
          <w:sz w:val="15"/>
          <w:szCs w:val="15"/>
          <w:i w:val="1"/>
          <w:iCs w:val="1"/>
          <w:color w:val="auto"/>
        </w:rPr>
        <w:t>ARK Mobile</w:t>
      </w:r>
      <w:r>
        <w:rPr>
          <w:rFonts w:ascii="Times New Roman" w:cs="Times New Roman" w:eastAsia="Times New Roman" w:hAnsi="Times New Roman"/>
          <w:sz w:val="15"/>
          <w:szCs w:val="15"/>
          <w:color w:val="auto"/>
        </w:rPr>
        <w:t xml:space="preserve"> of $1.3 million that was driven by the release of </w:t>
      </w:r>
      <w:r>
        <w:rPr>
          <w:rFonts w:ascii="Times New Roman" w:cs="Times New Roman" w:eastAsia="Times New Roman" w:hAnsi="Times New Roman"/>
          <w:sz w:val="15"/>
          <w:szCs w:val="15"/>
          <w:i w:val="1"/>
          <w:iCs w:val="1"/>
          <w:color w:val="auto"/>
        </w:rPr>
        <w:t>ARK: Ultimate Mobile Edition</w:t>
      </w:r>
      <w:r>
        <w:rPr>
          <w:rFonts w:ascii="Times New Roman" w:cs="Times New Roman" w:eastAsia="Times New Roman" w:hAnsi="Times New Roman"/>
          <w:sz w:val="15"/>
          <w:szCs w:val="15"/>
          <w:color w:val="auto"/>
        </w:rPr>
        <w:t>, and the Company deferred $3.3 million less of its sales during the three months ended March 31, 2025 than it deferred in the three months ended March 31, 2024. These increases were partially offset by a decrease in revenues related to other games of $1.6 million.</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Cost of revenues for the three months ended March 31, 2025 increased by $2.2 million, or 18.4%, compared to the three months ended March 31, 2024.</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Cost of revenues for the three months ended March 31, 2025 and 2024 comprised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gridSpan w:val="3"/>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4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gridSpan w:val="3"/>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license royalties - related parties</w:t>
            </w:r>
          </w:p>
        </w:tc>
        <w:tc>
          <w:tcPr>
            <w:tcW w:w="92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61.1%</w:t>
            </w: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Software license royalties</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(0.1)</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(66.9)%</w:t>
            </w: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License and amortization - related parties</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License and amortization</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20" w:type="dxa"/>
            <w:vAlign w:val="bottom"/>
          </w:tcPr>
          <w:p>
            <w:pPr>
              <w:spacing w:after="0"/>
              <w:rPr>
                <w:sz w:val="16"/>
                <w:szCs w:val="16"/>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131,106.3%</w:t>
            </w: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Merchant fees</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150.5%</w:t>
            </w: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Engine fees</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(15.4)%</w:t>
            </w:r>
          </w:p>
        </w:tc>
      </w:tr>
      <w:tr>
        <w:trPr>
          <w:trHeight w:val="19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Internet, server and data center</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(0.1)</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920" w:type="dxa"/>
            <w:vAlign w:val="bottom"/>
            <w:tcBorders>
              <w:top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320" w:type="dxa"/>
            <w:vAlign w:val="bottom"/>
          </w:tcPr>
          <w:p>
            <w:pPr>
              <w:spacing w:after="0"/>
              <w:rPr>
                <w:sz w:val="16"/>
                <w:szCs w:val="16"/>
                <w:color w:val="auto"/>
              </w:rPr>
            </w:pPr>
          </w:p>
        </w:tc>
        <w:tc>
          <w:tcPr>
            <w:tcW w:w="1040" w:type="dxa"/>
            <w:vAlign w:val="bottom"/>
            <w:tcBorders>
              <w:top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320" w:type="dxa"/>
            <w:vAlign w:val="bottom"/>
          </w:tcPr>
          <w:p>
            <w:pPr>
              <w:spacing w:after="0"/>
              <w:rPr>
                <w:sz w:val="16"/>
                <w:szCs w:val="16"/>
                <w:color w:val="auto"/>
              </w:rPr>
            </w:pPr>
          </w:p>
        </w:tc>
        <w:tc>
          <w:tcPr>
            <w:tcW w:w="32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32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4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 xml:space="preserve">The increase in cost of revenues for the three months ended March 31, 2025 was due to an increase of $2.0 million in software license royalties – related parties, a result of increased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sales, an increase of $0.3 million in license and amortization due to the increased depreciable base of intangible assets in 2025, an increase in merchant fees of $0.3 million related to the increased </w:t>
      </w:r>
      <w:r>
        <w:rPr>
          <w:rFonts w:ascii="Times New Roman" w:cs="Times New Roman" w:eastAsia="Times New Roman" w:hAnsi="Times New Roman"/>
          <w:sz w:val="15"/>
          <w:szCs w:val="15"/>
          <w:i w:val="1"/>
          <w:iCs w:val="1"/>
          <w:color w:val="auto"/>
        </w:rPr>
        <w:t>ARK: Ultimate Mobile Edition</w:t>
      </w:r>
      <w:r>
        <w:rPr>
          <w:rFonts w:ascii="Times New Roman" w:cs="Times New Roman" w:eastAsia="Times New Roman" w:hAnsi="Times New Roman"/>
          <w:sz w:val="15"/>
          <w:szCs w:val="15"/>
          <w:color w:val="auto"/>
        </w:rPr>
        <w:t xml:space="preserve"> revenues, partially offset by decreased engine fees of $0.2 million, decreased internet, server and data center fees of $0.1 million and decreased software license royalties of $0.1 million.</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201" w:lineRule="exact"/>
        <w:rPr>
          <w:sz w:val="20"/>
          <w:szCs w:val="20"/>
          <w:color w:val="auto"/>
        </w:rPr>
      </w:pPr>
    </w:p>
    <w:p>
      <w:pPr>
        <w:jc w:val="both"/>
        <w:ind w:right="20" w:firstLine="277"/>
        <w:spacing w:after="0" w:line="269" w:lineRule="auto"/>
        <w:rPr>
          <w:sz w:val="20"/>
          <w:szCs w:val="20"/>
          <w:color w:val="auto"/>
        </w:rPr>
      </w:pPr>
      <w:r>
        <w:rPr>
          <w:rFonts w:ascii="Times New Roman" w:cs="Times New Roman" w:eastAsia="Times New Roman" w:hAnsi="Times New Roman"/>
          <w:sz w:val="15"/>
          <w:szCs w:val="15"/>
          <w:color w:val="auto"/>
        </w:rPr>
        <w:t>General and administrative expenses for the three months ended March 31, 2025 increased by $2.6 million, or 117.5%, compared to the three months ended March 31, 2024. The increase in general and administrative expenses was due to an increase in salaries and wages of $2.1 million, the result of the Company recording $0.8 million in stock compensation expense in 2025 versus an income related to stock compensation of ($0.9) million in 2024, an increase in office expense of $0.2 million, an increase in contractors expense of $0.1 million and travel expense of $0.1 million.</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0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 xml:space="preserve">Research and development expenses for the three months ended March 31, 2025 increased by $1.8 million, or 103.2%, compared to the three months ended March 31, 2024. The increase in research and development expenses was due to the outsourced development of </w:t>
      </w:r>
      <w:r>
        <w:rPr>
          <w:rFonts w:ascii="Times New Roman" w:cs="Times New Roman" w:eastAsia="Times New Roman" w:hAnsi="Times New Roman"/>
          <w:sz w:val="15"/>
          <w:szCs w:val="15"/>
          <w:i w:val="1"/>
          <w:iCs w:val="1"/>
          <w:color w:val="auto"/>
        </w:rPr>
        <w:t>For the Stars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Project Aether</w:t>
      </w:r>
      <w:r>
        <w:rPr>
          <w:rFonts w:ascii="Times New Roman" w:cs="Times New Roman" w:eastAsia="Times New Roman" w:hAnsi="Times New Roman"/>
          <w:sz w:val="15"/>
          <w:szCs w:val="15"/>
          <w:color w:val="auto"/>
        </w:rPr>
        <w:t xml:space="preserve"> paid through Suzhou Snail and an increase in internal research and development salaries as the Company continues to expand its internal development team</w:t>
      </w:r>
      <w:r>
        <w:rPr>
          <w:rFonts w:ascii="Times New Roman" w:cs="Times New Roman" w:eastAsia="Times New Roman" w:hAnsi="Times New Roman"/>
          <w:sz w:val="15"/>
          <w:szCs w:val="15"/>
          <w:i w:val="1"/>
          <w:iCs w:val="1"/>
          <w:color w:val="auto"/>
        </w:rPr>
        <w:t>.</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 expenses</w:t>
      </w:r>
    </w:p>
    <w:p>
      <w:pPr>
        <w:spacing w:after="0" w:line="201"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 xml:space="preserve">Advertising and marketing expenses for the three months ended March 31, 2025 increased by $1.2 million, or 826.3%, compared to the three months ended March 31, 2024. The increase in advertising and marketing expenses was due to the Company’s presence at the Game Developers Conference (“GDC”) during the three months ended March 31, 2025, and increased advertising campaigns for our Wandering Wizard titles and </w:t>
      </w:r>
      <w:r>
        <w:rPr>
          <w:rFonts w:ascii="Times New Roman" w:cs="Times New Roman" w:eastAsia="Times New Roman" w:hAnsi="Times New Roman"/>
          <w:sz w:val="15"/>
          <w:szCs w:val="15"/>
          <w:i w:val="1"/>
          <w:iCs w:val="1"/>
          <w:color w:val="auto"/>
        </w:rPr>
        <w:t>SaltyTV</w:t>
      </w:r>
      <w:r>
        <w:rPr>
          <w:rFonts w:ascii="Times New Roman" w:cs="Times New Roman" w:eastAsia="Times New Roman" w:hAnsi="Times New Roman"/>
          <w:sz w:val="15"/>
          <w:szCs w:val="15"/>
          <w:color w:val="auto"/>
        </w:rPr>
        <w:t xml:space="preserve"> application and related offerings.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Factors Affecting Net Loss</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51"/>
        </w:trPr>
        <w:tc>
          <w:tcPr>
            <w:tcW w:w="4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gridSpan w:val="2"/>
          </w:tcPr>
          <w:p>
            <w:pPr>
              <w:jc w:val="center"/>
              <w:ind w:right="42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3"/>
        </w:trPr>
        <w:tc>
          <w:tcPr>
            <w:tcW w:w="4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center"/>
              <w:ind w:right="423"/>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4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2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5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92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(0.1)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w:t>
            </w: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920" w:type="dxa"/>
            <w:vAlign w:val="bottom"/>
          </w:tcPr>
          <w:p>
            <w:pPr>
              <w:spacing w:after="0"/>
              <w:rPr>
                <w:sz w:val="16"/>
                <w:szCs w:val="16"/>
                <w:color w:val="auto"/>
              </w:rPr>
            </w:pP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(0.1)</w:t>
            </w:r>
          </w:p>
        </w:tc>
        <w:tc>
          <w:tcPr>
            <w:tcW w:w="11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(0.4)</w:t>
            </w:r>
          </w:p>
        </w:tc>
        <w:tc>
          <w:tcPr>
            <w:tcW w:w="460" w:type="dxa"/>
            <w:vAlign w:val="bottom"/>
          </w:tcPr>
          <w:p>
            <w:pPr>
              <w:spacing w:after="0"/>
              <w:rPr>
                <w:sz w:val="16"/>
                <w:szCs w:val="16"/>
                <w:color w:val="auto"/>
              </w:rPr>
            </w:pPr>
          </w:p>
        </w:tc>
        <w:tc>
          <w:tcPr>
            <w:tcW w:w="152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0.3</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79.6%</w:t>
            </w: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9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0.8</w:t>
            </w: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0.6</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239.0%</w:t>
            </w:r>
          </w:p>
        </w:tc>
      </w:tr>
      <w:tr>
        <w:trPr>
          <w:trHeight w:val="199"/>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Income tax benefit</w:t>
            </w:r>
          </w:p>
        </w:tc>
        <w:tc>
          <w:tcPr>
            <w:tcW w:w="920" w:type="dxa"/>
            <w:vAlign w:val="bottom"/>
          </w:tcPr>
          <w:p>
            <w:pPr>
              <w:spacing w:after="0"/>
              <w:rPr>
                <w:sz w:val="17"/>
                <w:szCs w:val="17"/>
                <w:color w:val="auto"/>
              </w:rPr>
            </w:pP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1.5</w:t>
            </w:r>
          </w:p>
        </w:tc>
        <w:tc>
          <w:tcPr>
            <w:tcW w:w="1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1.0</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207.7%</w:t>
            </w:r>
          </w:p>
        </w:tc>
      </w:tr>
    </w:tbl>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201"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Interest income was $0.0 million and $0.1 million for the three months ended March 31, 2025 and March 31, 2024, respectively. The decrease was due to the balance of our cash deposits being lower on average during the three months ended March 31, 2025.</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201"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Interest expense primarily related to our outstanding indebtedness with third-party lenders. Interest expense decreased by $0.3 million for the three months ended March 31, 2025 because of lower average debt during the three months ended March 31, 2025.</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Other income</w:t>
      </w:r>
    </w:p>
    <w:p>
      <w:pPr>
        <w:spacing w:after="0" w:line="201"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Other income increased by $0.6 million for the three months ended March 31, 2025, in comparison to the three months ended March 31, 2024. The increase is due to the recognition of $0.6 million due to the revaluation of warrant liabilities in the three months ended March 31, 2025.</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Benefit from income taxes</w:t>
      </w:r>
    </w:p>
    <w:p>
      <w:pPr>
        <w:spacing w:after="0" w:line="201"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The Company had benefit from income taxes of $1.5 million for the three months ended March 31, 2025, and a benefit of $0.5 million for the three months ended March 31, 2024. Our effective income tax rate was 43% during the three months ended March 31, 2025 and 21% during the three months ended March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Performance Metrics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Units Sold</w:t>
      </w:r>
    </w:p>
    <w:p>
      <w:pPr>
        <w:spacing w:after="0" w:line="20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spacing w:after="0" w:line="15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7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40" w:type="dxa"/>
            <w:vAlign w:val="bottom"/>
          </w:tcPr>
          <w:p>
            <w:pPr>
              <w:spacing w:after="0"/>
              <w:rPr>
                <w:sz w:val="16"/>
                <w:szCs w:val="16"/>
                <w:color w:val="auto"/>
              </w:rPr>
            </w:pPr>
          </w:p>
        </w:tc>
      </w:tr>
      <w:tr>
        <w:trPr>
          <w:trHeight w:val="176"/>
        </w:trPr>
        <w:tc>
          <w:tcPr>
            <w:tcW w:w="4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60" w:type="dxa"/>
            <w:vAlign w:val="bottom"/>
          </w:tcPr>
          <w:p>
            <w:pPr>
              <w:jc w:val="right"/>
              <w:ind w:right="82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5380" w:type="dxa"/>
            <w:vAlign w:val="bottom"/>
            <w:gridSpan w:val="2"/>
            <w:shd w:val="clear" w:color="auto" w:fill="CCEEFF"/>
          </w:tcPr>
          <w:p>
            <w:pPr>
              <w:jc w:val="right"/>
              <w:ind w:right="4663"/>
              <w:spacing w:after="0"/>
              <w:rPr>
                <w:sz w:val="20"/>
                <w:szCs w:val="20"/>
                <w:color w:val="auto"/>
              </w:rPr>
            </w:pPr>
            <w:r>
              <w:rPr>
                <w:rFonts w:ascii="Times New Roman" w:cs="Times New Roman" w:eastAsia="Times New Roman" w:hAnsi="Times New Roman"/>
                <w:sz w:val="15"/>
                <w:szCs w:val="15"/>
                <w:color w:val="auto"/>
                <w:w w:val="97"/>
              </w:rPr>
              <w:t>Units Sold</w:t>
            </w:r>
          </w:p>
        </w:tc>
        <w:tc>
          <w:tcPr>
            <w:tcW w:w="1760" w:type="dxa"/>
            <w:vAlign w:val="bottom"/>
            <w:shd w:val="clear" w:color="auto" w:fill="CCEEFF"/>
          </w:tcPr>
          <w:p>
            <w:pPr>
              <w:jc w:val="right"/>
              <w:ind w:right="1303"/>
              <w:spacing w:after="0"/>
              <w:rPr>
                <w:sz w:val="20"/>
                <w:szCs w:val="20"/>
                <w:color w:val="auto"/>
              </w:rPr>
            </w:pPr>
            <w:r>
              <w:rPr>
                <w:rFonts w:ascii="Times New Roman" w:cs="Times New Roman" w:eastAsia="Times New Roman" w:hAnsi="Times New Roman"/>
                <w:sz w:val="15"/>
                <w:szCs w:val="15"/>
                <w:color w:val="auto"/>
              </w:rPr>
              <w:t>1.5</w:t>
            </w:r>
          </w:p>
        </w:tc>
        <w:tc>
          <w:tcPr>
            <w:tcW w:w="1860" w:type="dxa"/>
            <w:vAlign w:val="bottom"/>
            <w:shd w:val="clear" w:color="auto" w:fill="CCEEFF"/>
          </w:tcPr>
          <w:p>
            <w:pPr>
              <w:jc w:val="right"/>
              <w:ind w:right="1363"/>
              <w:spacing w:after="0"/>
              <w:rPr>
                <w:sz w:val="20"/>
                <w:szCs w:val="20"/>
                <w:color w:val="auto"/>
              </w:rPr>
            </w:pPr>
            <w:r>
              <w:rPr>
                <w:rFonts w:ascii="Times New Roman" w:cs="Times New Roman" w:eastAsia="Times New Roman" w:hAnsi="Times New Roman"/>
                <w:sz w:val="15"/>
                <w:szCs w:val="15"/>
                <w:color w:val="auto"/>
              </w:rPr>
              <w:t>1.1</w:t>
            </w:r>
          </w:p>
        </w:tc>
        <w:tc>
          <w:tcPr>
            <w:tcW w:w="7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0.4</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44.8%</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Units include master games, DLCs, season pass and bundles and excludes skins, soundtracks and other items.</w:t>
      </w:r>
    </w:p>
    <w:p>
      <w:pPr>
        <w:spacing w:after="0" w:line="197"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 xml:space="preserve">Units sold increased during the three months ended March 31, 2025, as compared to the three months ended March 31, 2024, by 0.4 million units, or 44.8%. The Company’s units sold increased due to an increase in sales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of 0.1 million units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and an increase in sales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of 0.3 million units during the three months ended March 31, 2025.</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Bookings</w:t>
      </w:r>
    </w:p>
    <w:p>
      <w:pPr>
        <w:spacing w:after="0" w:line="20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Bookings is a key operating metric in assessing our financial performance. Bookings adjusts for the impact of deferrals and, we believe, provides a useful indicator of sales in a given period. It reflects the net amount of products and services sold digitally or physically in a given period, excluding the impact of revenue deferrals. Bookings is used by management to understand sales trends and assess the volume of our sales activity over time. Bookings should not be considered as alternatives to net loss, as measures of financial performance or any other performance measure derived in accordance with GAAP. Below is a reconciliation of total net revenue to Bookings, the closest GAAP financial measure.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gridSpan w:val="3"/>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4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gridSpan w:val="2"/>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net revenue</w:t>
            </w:r>
          </w:p>
        </w:tc>
        <w:tc>
          <w:tcPr>
            <w:tcW w:w="92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20.1</w:t>
            </w: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14.1</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3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Change in deferred net revenue</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(60.9)%</w:t>
            </w:r>
          </w:p>
        </w:tc>
      </w:tr>
      <w:tr>
        <w:trPr>
          <w:trHeight w:val="18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Bookings</w:t>
            </w:r>
          </w:p>
        </w:tc>
        <w:tc>
          <w:tcPr>
            <w:tcW w:w="92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 xml:space="preserve">For the three months ended March 31, 2025, bookings increased by $2.6 million, or 13.6%, compared to the three months ended March 31, 2024, because of the releases of </w:t>
      </w:r>
      <w:r>
        <w:rPr>
          <w:rFonts w:ascii="Times New Roman" w:cs="Times New Roman" w:eastAsia="Times New Roman" w:hAnsi="Times New Roman"/>
          <w:sz w:val="15"/>
          <w:szCs w:val="15"/>
          <w:i w:val="1"/>
          <w:iCs w:val="1"/>
          <w:color w:val="auto"/>
        </w:rPr>
        <w:t>ARK: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Survival Ascended </w:t>
      </w:r>
      <w:r>
        <w:rPr>
          <w:rFonts w:ascii="Times New Roman" w:cs="Times New Roman" w:eastAsia="Times New Roman" w:hAnsi="Times New Roman"/>
          <w:sz w:val="15"/>
          <w:szCs w:val="15"/>
          <w:color w:val="auto"/>
        </w:rPr>
        <w:t>DLC</w:t>
      </w:r>
      <w:r>
        <w:rPr>
          <w:rFonts w:ascii="Times New Roman" w:cs="Times New Roman" w:eastAsia="Times New Roman" w:hAnsi="Times New Roman"/>
          <w:sz w:val="15"/>
          <w:szCs w:val="15"/>
          <w:i w:val="1"/>
          <w:iCs w:val="1"/>
          <w:color w:val="auto"/>
        </w:rPr>
        <w:t xml:space="preserve"> Astraeos </w:t>
      </w:r>
      <w:r>
        <w:rPr>
          <w:rFonts w:ascii="Times New Roman" w:cs="Times New Roman" w:eastAsia="Times New Roman" w:hAnsi="Times New Roman"/>
          <w:sz w:val="15"/>
          <w:szCs w:val="15"/>
          <w:color w:val="auto"/>
        </w:rPr>
        <w:t>in the first quarter of 2025, and the releases of</w:t>
      </w:r>
      <w:r>
        <w:rPr>
          <w:rFonts w:ascii="Times New Roman" w:cs="Times New Roman" w:eastAsia="Times New Roman" w:hAnsi="Times New Roman"/>
          <w:sz w:val="15"/>
          <w:szCs w:val="15"/>
          <w:i w:val="1"/>
          <w:iCs w:val="1"/>
          <w:color w:val="auto"/>
        </w:rPr>
        <w:t xml:space="preserve"> Bobs Tall Tales</w:t>
      </w:r>
      <w:r>
        <w:rPr>
          <w:rFonts w:ascii="Times New Roman" w:cs="Times New Roman" w:eastAsia="Times New Roman" w:hAnsi="Times New Roman"/>
          <w:sz w:val="15"/>
          <w:szCs w:val="15"/>
          <w:color w:val="auto"/>
        </w:rPr>
        <w:t>, and</w:t>
      </w:r>
      <w:r>
        <w:rPr>
          <w:rFonts w:ascii="Times New Roman" w:cs="Times New Roman" w:eastAsia="Times New Roman" w:hAnsi="Times New Roman"/>
          <w:sz w:val="15"/>
          <w:szCs w:val="15"/>
          <w:i w:val="1"/>
          <w:iCs w:val="1"/>
          <w:color w:val="auto"/>
        </w:rPr>
        <w:t xml:space="preserve"> Bellwright </w:t>
      </w:r>
      <w:r>
        <w:rPr>
          <w:rFonts w:ascii="Times New Roman" w:cs="Times New Roman" w:eastAsia="Times New Roman" w:hAnsi="Times New Roman"/>
          <w:sz w:val="15"/>
          <w:szCs w:val="15"/>
          <w:color w:val="auto"/>
        </w:rPr>
        <w:t>in the latter quarters of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2"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i w:val="1"/>
          <w:iCs w:val="1"/>
          <w:color w:val="auto"/>
        </w:rPr>
        <w:t>Non-GAAP Measures</w:t>
      </w:r>
    </w:p>
    <w:p>
      <w:pPr>
        <w:spacing w:after="0" w:line="201"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In addition to our financial results determined in accordance with U.S. generally accepted accounting principles (“U.S. GAAP” or “GAAP”), we believe EBITDA, as a non-GAAP measure, is useful in evaluating our operating performance. EBITDA, as used in this Quarterly Report on Form 10-Q, is a non-GAAP financial measure that is presented as supplemental disclosures and should not be construed as an alternative to net loss or any other GAAP measure as an indicator of operating performance.</w:t>
      </w:r>
    </w:p>
    <w:p>
      <w:pPr>
        <w:spacing w:after="0" w:line="146"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present EBITDA because it is used by management to assess our financial performance, excluding certain expenses that management believes do not reflect the ongoing operating performance of the business. Management uses EBITDA to supplement GAAP measures of performance when evaluating our business strategies, making budgeting decisions and comparing performance against peer companies.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EBITDA</w:t>
      </w:r>
    </w:p>
    <w:p>
      <w:pPr>
        <w:spacing w:after="0" w:line="20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We define EBITDA as net loss before (i) interest income, (ii) interest expense, (iii) (benefit from) provision for income taxes, and (iv) depreciation expense, property and equipment.</w:t>
      </w:r>
    </w:p>
    <w:p>
      <w:pPr>
        <w:spacing w:after="0" w:line="363"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Below is a reconciliation of net loss to EBITDA, the closest GAAP financial measure.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882"/>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4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10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tcBorders>
              <w:bottom w:val="single" w:sz="8" w:color="auto"/>
            </w:tcBorders>
            <w:gridSpan w:val="2"/>
          </w:tcPr>
          <w:p>
            <w:pPr>
              <w:jc w:val="right"/>
              <w:ind w:right="702"/>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80" w:type="dxa"/>
            <w:vAlign w:val="bottom"/>
            <w:gridSpan w:val="2"/>
          </w:tcPr>
          <w:p>
            <w:pPr>
              <w:spacing w:after="0"/>
              <w:rPr>
                <w:sz w:val="16"/>
                <w:szCs w:val="16"/>
                <w:color w:val="auto"/>
              </w:rPr>
            </w:pPr>
          </w:p>
        </w:tc>
      </w:tr>
      <w:tr>
        <w:trPr>
          <w:trHeight w:val="176"/>
        </w:trPr>
        <w:tc>
          <w:tcPr>
            <w:tcW w:w="4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gridSpan w:val="3"/>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06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(1.9)</w:t>
            </w: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(1.8)</w:t>
            </w: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(0.1)</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9.4%</w:t>
            </w: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 and interest income - related parties</w:t>
            </w:r>
          </w:p>
        </w:tc>
        <w:tc>
          <w:tcPr>
            <w:tcW w:w="10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(0.1)</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(69.7)%</w:t>
            </w: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(0.3)</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w:t>
            </w: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Benefit from income taxes</w:t>
            </w:r>
          </w:p>
        </w:tc>
        <w:tc>
          <w:tcPr>
            <w:tcW w:w="1060" w:type="dxa"/>
            <w:vAlign w:val="bottom"/>
          </w:tcPr>
          <w:p>
            <w:pPr>
              <w:spacing w:after="0"/>
              <w:rPr>
                <w:sz w:val="16"/>
                <w:szCs w:val="16"/>
                <w:color w:val="auto"/>
              </w:rPr>
            </w:pPr>
          </w:p>
        </w:tc>
        <w:tc>
          <w:tcPr>
            <w:tcW w:w="72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(1.5)</w:t>
            </w:r>
          </w:p>
        </w:tc>
        <w:tc>
          <w:tcPr>
            <w:tcW w:w="1040" w:type="dxa"/>
            <w:vAlign w:val="bottom"/>
          </w:tcPr>
          <w:p>
            <w:pPr>
              <w:spacing w:after="0"/>
              <w:rPr>
                <w:sz w:val="16"/>
                <w:szCs w:val="16"/>
                <w:color w:val="auto"/>
              </w:rPr>
            </w:pPr>
          </w:p>
        </w:tc>
        <w:tc>
          <w:tcPr>
            <w:tcW w:w="74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(0.5)</w:t>
            </w:r>
          </w:p>
        </w:tc>
        <w:tc>
          <w:tcPr>
            <w:tcW w:w="520" w:type="dxa"/>
            <w:vAlign w:val="bottom"/>
          </w:tcPr>
          <w:p>
            <w:pPr>
              <w:spacing w:after="0"/>
              <w:rPr>
                <w:sz w:val="16"/>
                <w:szCs w:val="16"/>
                <w:color w:val="auto"/>
              </w:rPr>
            </w:pPr>
          </w:p>
        </w:tc>
        <w:tc>
          <w:tcPr>
            <w:tcW w:w="126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(1.0)</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207.7%</w:t>
            </w:r>
          </w:p>
        </w:tc>
      </w:tr>
      <w:tr>
        <w:trPr>
          <w:trHeight w:val="19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expense</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EBITDA</w:t>
            </w:r>
          </w:p>
        </w:tc>
        <w:tc>
          <w:tcPr>
            <w:tcW w:w="1060" w:type="dxa"/>
            <w:vAlign w:val="bottom"/>
            <w:tcBorders>
              <w:top w:val="single" w:sz="8" w:color="auto"/>
            </w:tcBorders>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320" w:type="dxa"/>
            <w:vAlign w:val="bottom"/>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320" w:type="dxa"/>
            <w:vAlign w:val="bottom"/>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1"/>
              </w:rPr>
              <w:t>)%</w:t>
            </w:r>
          </w:p>
        </w:tc>
      </w:tr>
      <w:tr>
        <w:trPr>
          <w:trHeight w:val="20"/>
        </w:trPr>
        <w:tc>
          <w:tcPr>
            <w:tcW w:w="4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For the three months ended March 31, 2025, EBITDA decreased by $1.3 million, or 75.5%, compared to the three months ended March 31, 2024, primarily because of an increase in benefit from income taxes of $1.0 million, a decrease in interest expense, and an increase in net loss of $0.1 million, partially offset by a decrease in interest income and interest income – related parties of $0.1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Capital spending</w:t>
      </w:r>
    </w:p>
    <w:p>
      <w:pPr>
        <w:spacing w:after="0" w:line="20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Liquidity</w:t>
      </w:r>
    </w:p>
    <w:p>
      <w:pPr>
        <w:spacing w:after="0" w:line="201"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primary sources of liquidity are the cash flows generated from our operations, that are currently available as unrestricted cash. Our unrestricted cash was $9.4 million and $7.3 million as of March 31, 2025 and December 31, 2024, respectively.</w:t>
      </w:r>
    </w:p>
    <w:p>
      <w:pPr>
        <w:spacing w:after="0" w:line="133"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restricted cash and cash equivalents were $0.9 million as of March 31, 2025 and December 31, 2024. Our restricted cash primarily consists of time deposits and is used as security for certain of our debt instruments and to secure standby letters of credit with certain of our landlords.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39" w:name="page40"/>
    <w:bookmarkEnd w:id="39"/>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As of March 31, 2025, our 2021 Revolving Loan has a balance of $3.0 million and is due in June 2025. Additionally, in February 2025 the Company issued convertible notes with a par value of $3.3 million which mature in February 2026. In concurrence with the registration of the 2023 convertible notes shares the Company registered shares for distribution in an equity line of credit. The Company has the right, but not the obligation, to sell up to $5.0 million in Class A common stock to the investor. We intend to renegotiate with the lender to extend the maturity date of the 2021 Revolving Loan and to negotiate a new Short Term Note. However, there is no guarantee that we will be able to renegotiate the terms of the 2021 Revolving Loan or obtain a new short term note with the lender at terms acceptable to us or at all. The Company was in compliance with its debt covenants related to the 2021 Revolving Note and 2021 Promissory note for the trailing twelve months ended March 31, 2025, however it is probable that the Company will fail the covenants within the next 12 months. As such, the Company has classified the long-term portion of its promissory note as current. There is no guarantee that the Company will receive a waiver from the lender if the covenants of the loans are breached in the future. In the event of a future breach of the debt covenants the lender has the right, but not the obligation, to declare all or any part of the debt as due immediately and cease making any advances or extend any further credit to the Company.</w:t>
      </w:r>
    </w:p>
    <w:p>
      <w:pPr>
        <w:spacing w:after="0" w:line="158"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The Company has raised capital through the issuance of the convertible notes, equity line of credit, and the distribution agreement entered into with our retail partner which provided advanced royalties.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54"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current unrestricted cash position of approximately $9.4 million, and our expected revenue receipts will allow the Company to continue operations beyond the next 12 months and service its current debts.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tables present a summary of our cash flows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gridSpan w:val="3"/>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4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8"/>
        </w:trPr>
        <w:tc>
          <w:tcPr>
            <w:tcW w:w="4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92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(6.0)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w:t>
            </w: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92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(1.9)</w:t>
            </w: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19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(5.9)</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3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153.0%</w:t>
            </w:r>
          </w:p>
        </w:tc>
      </w:tr>
      <w:tr>
        <w:trPr>
          <w:trHeight w:val="150"/>
        </w:trPr>
        <w:tc>
          <w:tcPr>
            <w:tcW w:w="4280" w:type="dxa"/>
            <w:vAlign w:val="bottom"/>
          </w:tcPr>
          <w:p>
            <w:pPr>
              <w:spacing w:after="0" w:line="150" w:lineRule="exact"/>
              <w:rPr>
                <w:sz w:val="20"/>
                <w:szCs w:val="20"/>
                <w:color w:val="auto"/>
              </w:rPr>
            </w:pPr>
            <w:r>
              <w:rPr>
                <w:rFonts w:ascii="Times New Roman" w:cs="Times New Roman" w:eastAsia="Times New Roman" w:hAnsi="Times New Roman"/>
                <w:sz w:val="15"/>
                <w:szCs w:val="15"/>
                <w:color w:val="auto"/>
              </w:rPr>
              <w:t>Net increase in cash and cash equivalents and restricted cash and</w:t>
            </w:r>
          </w:p>
        </w:tc>
        <w:tc>
          <w:tcPr>
            <w:tcW w:w="9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2"/>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cash equivalents</w:t>
            </w:r>
          </w:p>
        </w:tc>
        <w:tc>
          <w:tcPr>
            <w:tcW w:w="920" w:type="dxa"/>
            <w:vAlign w:val="bottom"/>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tcPr>
          <w:p>
            <w:pPr>
              <w:spacing w:after="0"/>
              <w:rPr>
                <w:sz w:val="19"/>
                <w:szCs w:val="19"/>
                <w:color w:val="auto"/>
              </w:rPr>
            </w:pPr>
          </w:p>
        </w:tc>
        <w:tc>
          <w:tcPr>
            <w:tcW w:w="104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320" w:type="dxa"/>
            <w:vAlign w:val="bottom"/>
          </w:tcPr>
          <w:p>
            <w:pPr>
              <w:spacing w:after="0"/>
              <w:rPr>
                <w:sz w:val="19"/>
                <w:szCs w:val="19"/>
                <w:color w:val="auto"/>
              </w:rPr>
            </w:pPr>
          </w:p>
        </w:tc>
        <w:tc>
          <w:tcPr>
            <w:tcW w:w="52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32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127.1%</w:t>
            </w:r>
          </w:p>
        </w:tc>
      </w:tr>
      <w:tr>
        <w:trPr>
          <w:trHeight w:val="20"/>
        </w:trPr>
        <w:tc>
          <w:tcPr>
            <w:tcW w:w="4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20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Net cash flows provided by operating activities for the three months ended March 31, 2025 decreased $6.0 million as compared to the three months ended March 31, 2024, which resulted primarily from a decrease in net accounts receivable and account receivable related party of $13.5 million, a decrease in deferred revenues of $2.6 million, a decrease in non-cash reconciling items of $0.5 million and an increase in other noncurrent assets of $0.7 million, partially offset by a decrease in prepaid expenses and prepaid expenses – related parties of $3.0 million, a decrease in net loss of $0.1 million, an increase in accounts payable and accounts payable – related parties of $8.5 million.</w:t>
      </w:r>
    </w:p>
    <w:p>
      <w:pPr>
        <w:spacing w:after="0" w:line="150"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The Company had a net loss of $1.9 million and $1.8 million, for the three months ended March 31, 2025 and 2024, respectively, representing an decrease of $0.1 million. The decrease was primarily due to an increase in general and administrative expenses of $2.6 million, an increase in research and development of $1.8 million, an increase in advertising and marketing of $1.2 million and an increase in cost of revenues of $2.2 million, partially offset by increased revenues of $6.0 million, increased benefit from tax income taxes of $1.0 million, and an increase in total other income (expense) of $0.5 million.</w:t>
      </w:r>
    </w:p>
    <w:p>
      <w:pPr>
        <w:spacing w:after="0" w:line="15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Non-cash reconciling items were ($1.6) million and ($1.2) million for the three months ended March 31, 2025 and 2024, respectively, representing a decrease of $0.4 million. The decrease in the non-cash reconciling items was due to a decrease in deferred taxes of $1.5 million, an increase in the gain on change in fair value of warrant liabilities of $0.6 million, partially offset by an increase in stock based compensation expense (income) of $1.8 million, and an increase in amortization expense of $0.2 million.</w:t>
      </w:r>
    </w:p>
    <w:p>
      <w:pPr>
        <w:spacing w:after="0" w:line="146"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March 31, 2025 and December 31, 2024, the net outstanding balances of receivables due from SDE were $6.0 million and $7.5 million, respectively. We expect accounts receivables owed to us by SDE will be repaid within the next two fiscal years and intend to exercise all legally available means of collection. The Company and SDE have entered into an agreement to offset uncollected amounts against monthly payments due to SDE for operating expenses and costs of revenue. See Note 5-</w:t>
      </w:r>
      <w:r>
        <w:rPr>
          <w:rFonts w:ascii="Times New Roman" w:cs="Times New Roman" w:eastAsia="Times New Roman" w:hAnsi="Times New Roman"/>
          <w:sz w:val="15"/>
          <w:szCs w:val="15"/>
          <w:i w:val="1"/>
          <w:iCs w:val="1"/>
          <w:color w:val="auto"/>
        </w:rPr>
        <w:t xml:space="preserve">Accounts Receivable - Related Party </w:t>
      </w:r>
      <w:r>
        <w:rPr>
          <w:rFonts w:ascii="Times New Roman" w:cs="Times New Roman" w:eastAsia="Times New Roman" w:hAnsi="Times New Roman"/>
          <w:sz w:val="15"/>
          <w:szCs w:val="15"/>
          <w:color w:val="auto"/>
        </w:rPr>
        <w:t>to our unaudited condensed consolidated financial statements included in this Quarterly Report.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7" w:right="31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20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Net cash flows used in investing activities for the three months ended March 31, 2025 were $1.9 million compared to none in the three months ended March 31, 2024. Investing activities for the three months ended March 31, 2025 included $0.3 million for the acquisition of software applications, $1.4 million for the acquisition of license rights to certain titles, and $0.2 million in capitalized research and development expenditures for the development of software to be sold or marketed.</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20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Net cash flows provided by (used in) financing activities for the three months ended March 31, 2025 were $3.1 million compared to ($5.9) million for the three months ended March 31, 2024. Financing activities for the three months ended March 31, 2025 included $3.0 million from the issuance of convertible notes and $0.2 million received upon the exercise of warrants during the period. Financing activities for the three months ended March 31, 2024 included debt repayments of $5.6 million and $0.3 million in payments of capitalized offering costs in accounts payable.</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Registered Offering</w:t>
      </w:r>
    </w:p>
    <w:p>
      <w:pPr>
        <w:spacing w:after="0" w:line="20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spacing w:after="0" w:line="146"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was held to provide a source of funding for our indemnification obligations to the underwriters. The amount in escrow was released to the Company’s unrestricted cash and cash equivalents in November 2023.</w:t>
      </w:r>
    </w:p>
    <w:p>
      <w:pPr>
        <w:spacing w:after="0" w:line="146"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 October 2023, we filed a Form S-1 Registration Statement with the SEC in connection with our issuance of convertible note, equity line of credit and warrants related to each financing as noted below.</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Capital resources</w:t>
      </w:r>
    </w:p>
    <w:p>
      <w:pPr>
        <w:spacing w:after="0" w:line="201"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We fund our operations from our net cash flows provided by operating activities. In addition to these cash flows, we have entered into certain debt arrangements to provide additional liquidity and to finance our operations.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Revolving Loan</w:t>
      </w:r>
    </w:p>
    <w:p>
      <w:pPr>
        <w:spacing w:after="0" w:line="20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As amended, the 2021 Revolving Loan matured on December 31, 2023 and bore interest at a rate equal to the prime rate less 0.25%. Interest is due and payable under the 2021 Revolving Loan on a monthly basis. The Company amended the revolving loan agreement in December 2024, to extend the 2021 Revolving Loan maturity date to June 30, 2025. As of March 31, 2025, we had borrowings of $3.0 million outstanding under our 2021 Revolving Loan.</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Term Loan</w:t>
      </w:r>
    </w:p>
    <w:p>
      <w:pPr>
        <w:spacing w:after="0" w:line="20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Convertible Notes</w:t>
      </w:r>
    </w:p>
    <w:p>
      <w:pPr>
        <w:spacing w:after="0" w:line="2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In February 2025, the Company issued convertible notes with an aggregate principal amount of $3,300,000 for gross proceeds of $3,000,000. The 2025 Convertible Notes, which mature on February 21, 2026, carry an original issue discount of 10%, and are subject to a guaranteed interest equal to 5% of the principal amount. The principal and interest charges are payable in 10 equal monthly payments starting May 21, 2025. The Company is accounting for the convertible notes at fair value.</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Subject to certain ownership limitations, all or portion of the then outstanding and unpaid principal and interest of the 2025 Convertible Notes can be converted at the option of the holder at any time into shares of the Company’s Class A common, at a conversion price of $5.00 per share, except that except that, for an aggregate of $866,250 of the conversion amount, the conversion price is equal to the lesser of $5.00 per share or 92% of the lowest daily volume weighted average price of the Class A common stock during the 5 trading days period prior the receipt of the notice of conversion. The conversion price may be adjusted for certain customary dilutive events.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Equity Line Purchase Agreement</w:t>
      </w:r>
    </w:p>
    <w:p>
      <w:pPr>
        <w:spacing w:after="0" w:line="20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52"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The Company has registered shares for potential issuance on exercise of the warrants, or drawing of the equity line, on Form S-1 that was declared effective on October 30, 2023. As of March 31, 2025, the Company has not sold any Class A common stock under the Equity Line Purchase Agreement, and the investor has exercised 33,333 warrants.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5"/>
          <w:szCs w:val="15"/>
          <w:i w:val="1"/>
          <w:iCs w:val="1"/>
          <w:color w:val="auto"/>
        </w:rPr>
        <w:t>2023 Note Payable</w:t>
      </w:r>
    </w:p>
    <w:p>
      <w:pPr>
        <w:spacing w:after="0" w:line="197"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 xml:space="preserve">In July 2023, the Company entered into a cooperation agreement with its IDC vendor. The Company agreed to make the vendor the official server host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future iterations and sequels of the game for a period of 7 years. In return, the vendor has agreed to provide the Company with funds in cash of up to $3.0 million without discount and free of charges and costs to the Company. The funds were repaid in monthly installments starting in November 2023 and were based on 20% of the gross monthly </w:t>
      </w:r>
      <w:r>
        <w:rPr>
          <w:rFonts w:ascii="Times New Roman" w:cs="Times New Roman" w:eastAsia="Times New Roman" w:hAnsi="Times New Roman"/>
          <w:sz w:val="15"/>
          <w:szCs w:val="15"/>
          <w:i w:val="1"/>
          <w:iCs w:val="1"/>
          <w:color w:val="auto"/>
        </w:rPr>
        <w:t>ARK: Survival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Ascended </w:t>
      </w:r>
      <w:r>
        <w:rPr>
          <w:rFonts w:ascii="Times New Roman" w:cs="Times New Roman" w:eastAsia="Times New Roman" w:hAnsi="Times New Roman"/>
          <w:sz w:val="15"/>
          <w:szCs w:val="15"/>
          <w:color w:val="auto"/>
        </w:rPr>
        <w:t>revenues. The Company has imputed interest at 8.0% on draws made. As of December 31, 2024, we had repaid the remaining $1.5 million outstanding under the Note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Payable.</w:t>
      </w:r>
    </w:p>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Financial covenants</w:t>
      </w:r>
    </w:p>
    <w:p>
      <w:pPr>
        <w:spacing w:after="0" w:line="201"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The 2021 Revolving Loan, Term Loan and the 2022 Short Term Note require us to maintain a minimum debt service coverage ratio of 1.5 to 1.0. Additionally, the 2021 Revolving Loan requires us to maintain an outstanding principal balance of no more than $3.0 million for 30 consecutive days during any twelve-month period. For the trailing twelve months ended March 31, 2025, the Company met the minimum debt service coverage ratio required by its debt covenants. The Company repaid the $0.8 million term note that was one of three debt facilities with the lender, in January 2024. The Company’s ability to comply with the covenants, or receive waivers for the covenants, can lead to the acceleration of payments due under the debt facilities with the lender, cause the lender to cease making advances under the revolving agreement, or allow the lender to take possession of collateral. Due to the projected failure to comply with the debt covenant the Company classifies the long-term portion of its promissory note as current.</w:t>
      </w:r>
    </w:p>
    <w:p>
      <w:pPr>
        <w:spacing w:after="0" w:line="150" w:lineRule="exact"/>
        <w:rPr>
          <w:sz w:val="20"/>
          <w:szCs w:val="20"/>
          <w:color w:val="auto"/>
        </w:rPr>
      </w:pPr>
    </w:p>
    <w:p>
      <w:pPr>
        <w:jc w:val="both"/>
        <w:ind w:firstLine="277"/>
        <w:spacing w:after="0" w:line="299" w:lineRule="auto"/>
        <w:rPr>
          <w:sz w:val="20"/>
          <w:szCs w:val="20"/>
          <w:color w:val="auto"/>
        </w:rPr>
      </w:pPr>
      <w:r>
        <w:rPr>
          <w:rFonts w:ascii="Times New Roman" w:cs="Times New Roman" w:eastAsia="Times New Roman" w:hAnsi="Times New Roman"/>
          <w:sz w:val="15"/>
          <w:szCs w:val="15"/>
          <w:color w:val="auto"/>
        </w:rPr>
        <w:t xml:space="preserve">For additional information regarding our indebtedness, see Note 11, </w:t>
      </w:r>
      <w:r>
        <w:rPr>
          <w:rFonts w:ascii="Times New Roman" w:cs="Times New Roman" w:eastAsia="Times New Roman" w:hAnsi="Times New Roman"/>
          <w:sz w:val="15"/>
          <w:szCs w:val="15"/>
          <w:i w:val="1"/>
          <w:iCs w:val="1"/>
          <w:color w:val="auto"/>
        </w:rPr>
        <w:t>Revolving Loan, Short Term Note and Long-Term Debt</w:t>
      </w:r>
      <w:r>
        <w:rPr>
          <w:rFonts w:ascii="Times New Roman" w:cs="Times New Roman" w:eastAsia="Times New Roman" w:hAnsi="Times New Roman"/>
          <w:sz w:val="15"/>
          <w:szCs w:val="15"/>
          <w:color w:val="auto"/>
        </w:rPr>
        <w:t xml:space="preserve"> to our unaudited condensed consolidated financial statements included in this Quarterly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201"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 w:cs="Times New Roman" w:eastAsia="Times New Roman" w:hAnsi="Times New Roman"/>
          <w:sz w:val="15"/>
          <w:szCs w:val="15"/>
          <w:i w:val="1"/>
          <w:iCs w:val="1"/>
          <w:color w:val="auto"/>
        </w:rPr>
        <w:t>Summary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Significant Accounting Policies </w:t>
      </w:r>
      <w:r>
        <w:rPr>
          <w:rFonts w:ascii="Times New Roman" w:cs="Times New Roman" w:eastAsia="Times New Roman" w:hAnsi="Times New Roman"/>
          <w:sz w:val="15"/>
          <w:szCs w:val="15"/>
          <w:color w:val="auto"/>
        </w:rPr>
        <w:t>to our condensed consolidated financial statements included in this Quarterly Report. We believe that the following critical accounting policies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estimates have the greatest potential impact on our condensed consolidated financial statements.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Deferred Revenue</w:t>
      </w:r>
    </w:p>
    <w:p>
      <w:pPr>
        <w:spacing w:after="0" w:line="20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The Company recognizes, defers, and classifies the timing of deferred revenues from the sale of its products based on estimates of the release date, technical support obligations and timing of its performance obligations. The estimated timing of release dates is dependent on development milestones met by developers and compliance with platform requirements. At any time, platform requirements may change, or the developers may miss milestones. Estimates in technical support obligations will vary by platform and could change from period to period depending on user trends. Changes in estimates of our release schedule may affect the classification of short and long term deferred revenues and the rate at which deferred revenue is recognized, which could have a material impact on the Company’s condensed consolidated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43" w:name="page44"/>
    <w:bookmarkEnd w:id="43"/>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Selling Prices of Performance Obligations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uses the following reasonably available information in developing the standalone selling prices of the performance obligations:</w:t>
      </w:r>
    </w:p>
    <w:p>
      <w:pPr>
        <w:spacing w:after="0" w:line="197" w:lineRule="exact"/>
        <w:rPr>
          <w:sz w:val="20"/>
          <w:szCs w:val="20"/>
          <w:color w:val="auto"/>
        </w:rPr>
      </w:pPr>
    </w:p>
    <w:p>
      <w:pPr>
        <w:ind w:left="540" w:hanging="271"/>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available data points, including third party or industry pricing, and contractually stated prices.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such as market demand, competition, market constraints, awareness of the product and market trends.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Entity-specific factors including pricing strategies and objectives, market share and pricing practices for bundled arrangements.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Income Taxes</w:t>
      </w:r>
    </w:p>
    <w:p>
      <w:pPr>
        <w:spacing w:after="0" w:line="201"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The Company’s deferred income tax assets reflect the net tax effects of temporary differences between the carrying amounts of assets and liabilities for financial reporting purposes and the amounts used for income tax purposes. Changes in tax laws or the level of future taxable income could affect the realizability of deferred income tax assets. The Company recognizes deferred income taxes based on estimates of future taxable income and the utilization of tax loss carryforwards. In evaluating the realizability of deferred taxes, the Company evaluates all available positive and negative evidence of whether sufficient future taxable income will be generated to realize the deferred tax assets, including the results of recent operations and projections of future taxable income. The weighting of positive and negative evidence and the projection of future taxable income requires significant judgment and estimates. In addition, changes in these estimates may have a material impact on the Company’s condensed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201"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 xml:space="preserve">For a description of recently issued and adopted accounting pronouncements, including the respective dates of adoption and expected effects on our results of operations and financial condition, please see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Condensed Consolidated Financial Statements included in this Quarterly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Emerging Growth Company and Smaller Reporting Company Status</w:t>
      </w:r>
    </w:p>
    <w:p>
      <w:pPr>
        <w:spacing w:after="0" w:line="201"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44" w:name="page45"/>
    <w:bookmarkEnd w:id="44"/>
    <w:p>
      <w:pPr>
        <w:jc w:val="both"/>
        <w:ind w:left="8" w:firstLine="277"/>
        <w:spacing w:after="0" w:line="266" w:lineRule="auto"/>
        <w:rPr>
          <w:sz w:val="20"/>
          <w:szCs w:val="20"/>
          <w:color w:val="auto"/>
        </w:rPr>
      </w:pPr>
      <w:r>
        <w:rPr>
          <w:rFonts w:ascii="Times New Roman" w:cs="Times New Roman" w:eastAsia="Times New Roman" w:hAnsi="Times New Roman"/>
          <w:sz w:val="15"/>
          <w:szCs w:val="15"/>
          <w:color w:val="auto"/>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condensed consolidated financial statements may not be comparable to those of companies that comply with new or revised accounting pronouncements as of public company effective dates.</w:t>
      </w:r>
    </w:p>
    <w:p>
      <w:pPr>
        <w:spacing w:after="0" w:line="152"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We will remain an emerging growth company until the earliest of: (a)(i) the last day of the fiscal year following the fifth anniversary of the closing of our initial public offering;</w:t>
      </w:r>
    </w:p>
    <w:p>
      <w:pPr>
        <w:spacing w:after="0" w:line="27" w:lineRule="exact"/>
        <w:rPr>
          <w:sz w:val="20"/>
          <w:szCs w:val="20"/>
          <w:color w:val="auto"/>
        </w:rPr>
      </w:pPr>
    </w:p>
    <w:p>
      <w:pPr>
        <w:jc w:val="both"/>
        <w:ind w:left="8" w:hanging="8"/>
        <w:spacing w:after="0" w:line="262" w:lineRule="auto"/>
        <w:tabs>
          <w:tab w:leader="none" w:pos="241"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spacing w:after="0" w:line="156" w:lineRule="exact"/>
        <w:rPr>
          <w:sz w:val="20"/>
          <w:szCs w:val="20"/>
          <w:color w:val="auto"/>
        </w:rPr>
      </w:pPr>
    </w:p>
    <w:p>
      <w:pPr>
        <w:jc w:val="both"/>
        <w:ind w:left="8" w:firstLine="277"/>
        <w:spacing w:after="0" w:line="266" w:lineRule="auto"/>
        <w:rPr>
          <w:sz w:val="20"/>
          <w:szCs w:val="20"/>
          <w:color w:val="auto"/>
        </w:rPr>
      </w:pPr>
      <w:r>
        <w:rPr>
          <w:rFonts w:ascii="Times New Roman" w:cs="Times New Roman" w:eastAsia="Times New Roman" w:hAnsi="Times New Roman"/>
          <w:sz w:val="15"/>
          <w:szCs w:val="15"/>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201"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As a “smaller reporting company” as defined by Item 10 of Regulation S-K, the Company is not required to provide the information required by this item.</w:t>
      </w:r>
    </w:p>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Disclosure Controls and Procedures</w:t>
      </w:r>
    </w:p>
    <w:p>
      <w:pPr>
        <w:spacing w:after="0" w:line="201" w:lineRule="exact"/>
        <w:rPr>
          <w:sz w:val="20"/>
          <w:szCs w:val="20"/>
          <w:color w:val="auto"/>
        </w:rPr>
      </w:pPr>
    </w:p>
    <w:p>
      <w:pPr>
        <w:jc w:val="both"/>
        <w:ind w:left="8" w:firstLine="277"/>
        <w:spacing w:after="0" w:line="269" w:lineRule="auto"/>
        <w:rPr>
          <w:sz w:val="20"/>
          <w:szCs w:val="20"/>
          <w:color w:val="auto"/>
        </w:rPr>
      </w:pPr>
      <w:r>
        <w:rPr>
          <w:rFonts w:ascii="Times New Roman" w:cs="Times New Roman" w:eastAsia="Times New Roman" w:hAnsi="Times New Roman"/>
          <w:sz w:val="15"/>
          <w:szCs w:val="15"/>
          <w:color w:val="auto"/>
        </w:rPr>
        <w:t>The Company maintains disclosure controls and procedures (as defined in Rule 13a-15(e)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Co-Chief Executive Officers and the Chief Financial Officer, as appropriate, to allow timely decisions regarding required disclosure.</w:t>
      </w:r>
    </w:p>
    <w:p>
      <w:pPr>
        <w:spacing w:after="0" w:line="150" w:lineRule="exact"/>
        <w:rPr>
          <w:sz w:val="20"/>
          <w:szCs w:val="20"/>
          <w:color w:val="auto"/>
        </w:rPr>
      </w:pPr>
    </w:p>
    <w:p>
      <w:pPr>
        <w:jc w:val="both"/>
        <w:ind w:left="8" w:firstLine="277"/>
        <w:spacing w:after="0" w:line="266" w:lineRule="auto"/>
        <w:rPr>
          <w:sz w:val="20"/>
          <w:szCs w:val="20"/>
          <w:color w:val="auto"/>
        </w:rPr>
      </w:pPr>
      <w:r>
        <w:rPr>
          <w:rFonts w:ascii="Times New Roman" w:cs="Times New Roman" w:eastAsia="Times New Roman" w:hAnsi="Times New Roman"/>
          <w:sz w:val="15"/>
          <w:szCs w:val="15"/>
          <w:color w:val="auto"/>
        </w:rPr>
        <w:t xml:space="preserve">Under the supervision and with the participation of our management, including the Co-Chief Executive Officers and Chief Financial Officer, we have evaluated the effectiveness of our disclosure controls and procedures (as defined in Rules 13a-15(e) and 15d-15(e) under the Exchange Act), as of March 31, 2025. As described further in our 2024 Annual Report, the Company’s Co-Chief Executive Officer and Chief Financial Officer have concluded that our disclosure controls and procedures were not effective as of such date due to a material weakness in the internal control over financial reporting. This material weakness related to the failure to properly value the fair value of warrants related to the convertible notes and equity line of credit in accordance with ASC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xml:space="preserve"> and this material weakness continued to exist at March 31, 2025</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200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8"/>
          </w:cols>
          <w:pgMar w:left="312" w:top="587"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i w:val="1"/>
          <w:iCs w:val="1"/>
          <w:color w:val="auto"/>
        </w:rPr>
        <w:t>Management’s Plan for Remediation</w:t>
      </w:r>
    </w:p>
    <w:p>
      <w:pPr>
        <w:spacing w:after="0" w:line="201"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5"/>
          <w:szCs w:val="15"/>
          <w:color w:val="auto"/>
        </w:rPr>
        <w:t>We have begun enhancing the process of, and are focused on, designing and implementing effective internal control measures to improve our internal control over financial reporting and remediate the material weaknesses. Our internal control remediation efforts include the following:</w:t>
      </w:r>
    </w:p>
    <w:p>
      <w:pPr>
        <w:spacing w:after="0" w:line="133" w:lineRule="exact"/>
        <w:rPr>
          <w:sz w:val="20"/>
          <w:szCs w:val="20"/>
          <w:color w:val="auto"/>
        </w:rPr>
      </w:pPr>
    </w:p>
    <w:p>
      <w:pPr>
        <w:ind w:left="540" w:hanging="271"/>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Implementing new review controls and procedures over fair value valuations</w:t>
      </w:r>
    </w:p>
    <w:p>
      <w:pPr>
        <w:spacing w:after="0" w:line="2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Hire qualified external valuation specialist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 Over Financial Reporting</w:t>
      </w:r>
    </w:p>
    <w:p>
      <w:pPr>
        <w:spacing w:after="0" w:line="20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Except for the remediation efforts described above, we have not made changes in our internal control over financial reporting (as defined in Rules 13a-15(f) and 15d-15(f) under the Exchange Act) during the quarter ended March 31, 2025, which have materially affected, or are reasonably likely to materially affect, our internal control over financial reporting other than the remediation efforts described above.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 OTHER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See Item 1 of Part I, “Unaudited Condensed Consolidated Financial Statements - Note 14 - Commitments and Contingencies-Litigation.”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20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Before making an investment decision, you should carefully consider the risk factors described below as well as under the “Risk Factors” section in Part I – Item 1A of our 2024 Annual Report on Form 10-K, and any other periodic or current report that we file with the SEC, together with all of the related financial statements and notes thereto. Other than as set forth below, we have not identified any material changes to the risk factors previously disclosed in Part I – Item 1A – “Risk Factors” in our Annual Report on Form 10-K for the year ended December 31, 2024.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97"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We are dependent on the future success of our ARK franchise, and we must continue to publish “hit” titles or sequels to such “hit” titles in order to compete successfully in our industry.</w:t>
      </w:r>
    </w:p>
    <w:p>
      <w:pPr>
        <w:spacing w:after="0" w:line="124"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ARK </w:t>
      </w:r>
      <w:r>
        <w:rPr>
          <w:rFonts w:ascii="Times New Roman" w:cs="Times New Roman" w:eastAsia="Times New Roman" w:hAnsi="Times New Roman"/>
          <w:sz w:val="15"/>
          <w:szCs w:val="15"/>
          <w:color w:val="auto"/>
        </w:rPr>
        <w:t>is a “hit” product and has historically accounted for a substantial portion of our revenue. The</w:t>
      </w:r>
      <w:r>
        <w:rPr>
          <w:rFonts w:ascii="Times New Roman" w:cs="Times New Roman" w:eastAsia="Times New Roman" w:hAnsi="Times New Roman"/>
          <w:sz w:val="15"/>
          <w:szCs w:val="15"/>
          <w:i w:val="1"/>
          <w:iCs w:val="1"/>
          <w:color w:val="auto"/>
        </w:rPr>
        <w:t xml:space="preserve"> ARK </w:t>
      </w:r>
      <w:r>
        <w:rPr>
          <w:rFonts w:ascii="Times New Roman" w:cs="Times New Roman" w:eastAsia="Times New Roman" w:hAnsi="Times New Roman"/>
          <w:sz w:val="15"/>
          <w:szCs w:val="15"/>
          <w:color w:val="auto"/>
        </w:rPr>
        <w:t>franchise contributed 91.6% of our net revenue for the three months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ended March 31, 2025, and our five best-selling franchises (including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which may change year over year, in the aggregate accounted for 97.2% of our net revenue for the three months ended March 31, 2025.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spacing w:after="0" w:line="15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43"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from SDE, the parent company of Studio Wildcard, which is also an entity that is owned and controlled by the spouse of our Founder, Co-Chief Executive Officer, Chief Strategy Officer and Chairman, Mr. Shi. We entered into an original exclusive software license agreement with SDE in November 2015, for the rights to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subsequently entered into the amended and restated ARK1 License Agreement. In December 2022 and October 2023, we amended the ARK1 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contributed 91.6% of our net revenue for the three months ended March 31, 2025.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Company’s Annual Report on Form 10-K for the fiscal year ended December 31,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47" w:name="page48"/>
    <w:bookmarkEnd w:id="47"/>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rely on third-party platforms, such as Xbox Live and Game Pass, PlayStation Network, Steam, Epic Games Store, My Nintendo Store, the Apple App Store, the Google Play Store, and the Amazon Appstore, to distribute our games and collect revenues generated on such platforms and rely on third-party payment service providers to collect revenues generated on our own platforms.</w:t>
      </w:r>
    </w:p>
    <w:p>
      <w:pPr>
        <w:spacing w:after="0" w:line="143"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Our games are primarily purchased, accessed and operated through Xbox Live and Game Pass, PlayStation Network, Steam, Epic Games Store, My Nintendo Store, and in the case of our mobile games, the Apple App Store, the Google Play Store and the Amazon Appstore. Substantially all of the games, DLC and in-game virtual items that we sell are purchased using the payment processing systems of these platforms and, for the three months ended March 31, 2025, 95.6% of our revenues were generated through Xbox Live and Game Pass, PlayStation Network, Steam, Epic Games Store, My Nintendo Store, the Apple App Store, the Google Play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spacing w:after="0" w:line="346" w:lineRule="exact"/>
        <w:rPr>
          <w:sz w:val="20"/>
          <w:szCs w:val="20"/>
          <w:color w:val="auto"/>
        </w:rPr>
      </w:pPr>
    </w:p>
    <w:p>
      <w:pPr>
        <w:ind w:left="820" w:hanging="274"/>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 providers discontinue or limit our access to their platforms;</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governments or private parties, such as internet providers, impose bandwidth restrictions, increase charges or restrict or prohibit access to those platforms;</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increase the fees they charge us;</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modify their algorithms, communication channels available to developers, respective terms of service or other policies;</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decline in popularity;</w:t>
      </w:r>
    </w:p>
    <w:p>
      <w:pPr>
        <w:spacing w:after="0" w:line="196" w:lineRule="exact"/>
        <w:rPr>
          <w:rFonts w:ascii="Times New Roman" w:cs="Times New Roman" w:eastAsia="Times New Roman" w:hAnsi="Times New Roman"/>
          <w:sz w:val="15"/>
          <w:szCs w:val="15"/>
          <w:color w:val="auto"/>
        </w:rPr>
      </w:pPr>
    </w:p>
    <w:p>
      <w:pPr>
        <w:ind w:left="820" w:right="20" w:hanging="274"/>
        <w:spacing w:after="0" w:line="293" w:lineRule="auto"/>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spacing w:after="0" w:line="132"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elect or are required to change how they label free-to-play games or take payment for in-game purchases;</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block or limit access to the genres of games that we provide in any jurisdiction;</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 experiences a bankruptcy or other form of insolvency event; or</w:t>
      </w:r>
    </w:p>
    <w:p>
      <w:pPr>
        <w:spacing w:after="0" w:line="19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unable to comply with the platform providers’ terms of service.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7" w:right="319" w:bottom="1440" w:gutter="0" w:footer="0" w:header="0"/>
        </w:sectPr>
      </w:pPr>
    </w:p>
    <w:bookmarkStart w:id="48" w:name="page49"/>
    <w:bookmarkEnd w:id="48"/>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spacing w:after="0" w:line="154"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4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28"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91.8% of our net revenue by product platform for the three months ended March 31, 2025. The success of our business is subject to the continued popularity of these platforms and our ability to develop commercially successful products for these platforms.</w:t>
      </w:r>
    </w:p>
    <w:p>
      <w:pPr>
        <w:spacing w:after="0" w:line="150"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 law or tax rate changes could affect our effective tax rate and future profitability.</w:t>
      </w:r>
    </w:p>
    <w:p>
      <w:pPr>
        <w:spacing w:after="0" w:line="20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Our effective tax rate was 43% and 21% for the three month periods ended March 31, 2025 and 2024, respectively.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Tariffs may cause cost increases and disruptions in technical R&amp;D operations.</w:t>
      </w:r>
    </w:p>
    <w:p>
      <w:pPr>
        <w:spacing w:after="0" w:line="201"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We rely substantially on third-party providers located in China and Europe to support our technical research and development initiatives. As a result, a significant portion of our R&amp;D functions, including critical technical development and software engineering, are outsourced internationally. Recent and potential future trade policy changes, including the imposition or extension of tariffs on imported goods and services from China and Europe pose a material risk to our cost structure. Such tariffs may increase the costs of components, services, and skilled labor sourced from these regions, potentially resulting in higher operating expenses and reduced profit margins. In addition, tariff-induced supply chain disruptions could delay project timelines and necessitate a re-evaluation of our global outsourcing strategy, thereby adversely affecting our competitive position and financial performance.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7" w:right="319" w:bottom="1440" w:gutter="0" w:footer="0" w:header="0"/>
        </w:sectPr>
      </w:pPr>
    </w:p>
    <w:bookmarkStart w:id="49" w:name="page50"/>
    <w:bookmarkEnd w:id="49"/>
    <w:p>
      <w:pPr>
        <w:jc w:val="both"/>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spacing w:after="0" w:line="143"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2"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Our management identified a material weakness in our internal control over financial reporting involving the failure to properly value the fair value of warrants related to the convertible notes and equity line of credit. See Part II, Item 9A, “Controls and Procedures,” in this Quarterly Report for information regarding the identified material weaknesses and our actions to date to remediate the material weakness. As a result of the material weakness, our management has concluded that our internal control over financial reporting were not effective as of March 31, 2025.</w:t>
      </w:r>
    </w:p>
    <w:p>
      <w:pPr>
        <w:spacing w:after="0" w:line="150"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We are taking steps to remediate the material weakness, which include to enhancing our financial reporting close control procedures by implementing additional reviews of fair value measurements and hiring appropriate valuation experts as needed. However, our efforts to remediate the material weakness may not be effective in preventing a future material weakness in our internal control over financial reporting. If we do not effectively remediate the material weakness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spacing w:after="0" w:line="152" w:lineRule="exact"/>
        <w:rPr>
          <w:sz w:val="20"/>
          <w:szCs w:val="20"/>
          <w:color w:val="auto"/>
        </w:rPr>
      </w:pPr>
    </w:p>
    <w:p>
      <w:pPr>
        <w:jc w:val="both"/>
        <w:ind w:right="20" w:firstLine="277"/>
        <w:spacing w:after="0" w:line="287" w:lineRule="auto"/>
        <w:rPr>
          <w:sz w:val="20"/>
          <w:szCs w:val="20"/>
          <w:color w:val="auto"/>
        </w:rPr>
      </w:pPr>
      <w:r>
        <w:rPr>
          <w:rFonts w:ascii="Times New Roman" w:cs="Times New Roman" w:eastAsia="Times New Roman" w:hAnsi="Times New Roman"/>
          <w:sz w:val="15"/>
          <w:szCs w:val="15"/>
          <w:color w:val="auto"/>
        </w:rPr>
        <w:t>We can give no assurance that the measures we have taken or plans to take in the future will remediate the material weakness identified or that any additional material weakness or restatements of financial results will not arise in the future due to a failure to implement and maintain adequate internal control over financial reporting or circumvention of these controls.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50" w:name="page51"/>
    <w:bookmarkEnd w:id="50"/>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Our operating results may fluctuate from quarter to quarter, which makes our future results difficult to predict.</w:t>
      </w:r>
    </w:p>
    <w:p>
      <w:pPr>
        <w:spacing w:after="0" w:line="201" w:lineRule="exact"/>
        <w:rPr>
          <w:sz w:val="20"/>
          <w:szCs w:val="20"/>
          <w:color w:val="auto"/>
        </w:rPr>
      </w:pPr>
    </w:p>
    <w:p>
      <w:pPr>
        <w:jc w:val="both"/>
        <w:ind w:left="8" w:firstLine="277"/>
        <w:spacing w:after="0" w:line="266" w:lineRule="auto"/>
        <w:rPr>
          <w:sz w:val="20"/>
          <w:szCs w:val="20"/>
          <w:color w:val="auto"/>
        </w:rPr>
      </w:pPr>
      <w:r>
        <w:rPr>
          <w:rFonts w:ascii="Times New Roman" w:cs="Times New Roman" w:eastAsia="Times New Roman" w:hAnsi="Times New Roman"/>
          <w:sz w:val="15"/>
          <w:szCs w:val="15"/>
          <w:color w:val="auto"/>
        </w:rPr>
        <w:t>Our quarterly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w:t>
      </w:r>
    </w:p>
    <w:p>
      <w:pPr>
        <w:spacing w:after="0" w:line="152" w:lineRule="exact"/>
        <w:rPr>
          <w:sz w:val="20"/>
          <w:szCs w:val="20"/>
          <w:color w:val="auto"/>
        </w:rPr>
      </w:pPr>
    </w:p>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and grow our player base;</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and increase revenue from existing customers;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introduce new features and functionalities and enhance existing features and functionalities;</w:t>
      </w:r>
    </w:p>
    <w:p>
      <w:pPr>
        <w:spacing w:after="0" w:line="196" w:lineRule="exact"/>
        <w:rPr>
          <w:rFonts w:ascii="Times New Roman" w:cs="Times New Roman" w:eastAsia="Times New Roman" w:hAnsi="Times New Roman"/>
          <w:sz w:val="15"/>
          <w:szCs w:val="15"/>
          <w:color w:val="auto"/>
        </w:rPr>
      </w:pPr>
    </w:p>
    <w:p>
      <w:pPr>
        <w:ind w:left="268" w:right="20" w:hanging="268"/>
        <w:spacing w:after="0" w:line="293"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respond to competitive developments, including pricing changes and the introduction of new products and features by our competitors, or the emergence of new competitors;</w:t>
      </w:r>
    </w:p>
    <w:p>
      <w:pPr>
        <w:spacing w:after="0" w:line="132"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seasonal purchasing patterns of our consumers;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impact of downtime or defects in our game and reputational harm;</w:t>
      </w:r>
    </w:p>
    <w:p>
      <w:pPr>
        <w:spacing w:after="0" w:line="196"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132"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and political conditions and government regulations in the countries where we currently operate or plan to expand;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decisions by us to incur additional expenses, such as increases in sales and marketing or research and development; 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costs to attract, onboard, retain and motivate qualified personnel.</w:t>
      </w:r>
    </w:p>
    <w:p>
      <w:pPr>
        <w:spacing w:after="0" w:line="197" w:lineRule="exact"/>
        <w:rPr>
          <w:sz w:val="20"/>
          <w:szCs w:val="20"/>
          <w:color w:val="auto"/>
        </w:rPr>
      </w:pPr>
    </w:p>
    <w:p>
      <w:pPr>
        <w:jc w:val="both"/>
        <w:ind w:left="8" w:firstLine="277"/>
        <w:spacing w:after="0" w:line="269" w:lineRule="auto"/>
        <w:rPr>
          <w:sz w:val="20"/>
          <w:szCs w:val="20"/>
          <w:color w:val="auto"/>
        </w:rPr>
      </w:pPr>
      <w:r>
        <w:rPr>
          <w:rFonts w:ascii="Times New Roman" w:cs="Times New Roman" w:eastAsia="Times New Roman" w:hAnsi="Times New Roman"/>
          <w:sz w:val="15"/>
          <w:szCs w:val="15"/>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The variability and unpredictability of our operating results could result in our failure to meet our expectations or those of analysts that cover us or investors with respect to revenue or other operating results for a particular period. If we fail to meet or exceed such expectations, then the trading price of our Class A common stock could fall substantially, and we could face costly lawsuits, including securities class action suits.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200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8"/>
          </w:cols>
          <w:pgMar w:left="312" w:top="583" w:right="319" w:bottom="1440" w:gutter="0" w:footer="0" w:header="0"/>
        </w:sectPr>
      </w:pPr>
    </w:p>
    <w:bookmarkStart w:id="51" w:name="page52"/>
    <w:bookmarkEnd w:id="51"/>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We may require additional financing to sustain our operations, without which we may not be able to continue operations, and the terms of subsequent financings may adversely impact our stockholders.</w:t>
      </w:r>
    </w:p>
    <w:p>
      <w:pPr>
        <w:spacing w:after="0" w:line="1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We may direct our Equity Line Investor to purchase up to $5.0 million worth of shares of our Class A common stock under the Equity Line Purchase Agreement until December 31, 2025, in amounts up to $1.0 million in shares of our Class A common stock depending on market prices. In addition, pursuant to our arrangements with the Selling Stockholders, we may issue additional convertible notes to the Selling Stockholders in the aggregate principal amount of up to $11.0 million, with the first tranche consisting of the Crom Notes and the Jefferson Street Notes in the aggregate principal amount of $3.3 million.</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Notwithstanding the foregoing, our ability to obtain these additional funds contains certain restrictions, such as selling shares to the Equity Line Investor and obtaining funds under the Equity Line Purchase Agreement is limited by the terms and conditions in the Equity Line Purchase Agreement, including restrictions on the amounts we may sell to the Equity Line Investor at any one time, and a limitation on our ability to sell shares to the Equity Line Investor to the extent that it would cause the Equity Line Investor to beneficially own more than 9.99% of our outstanding shares of Class A common stock. Additionally, we will only be able to sell or issue to the Equity Line Investor (subject to certain reductions and other adjustments pursuant to the Equity Line Purchase Agreement, (i.e., the Exchange Cap) in total under the Equity Line Purchase Agreement, which is equal to 19.99% of the aggregate number of shares of Class A common stock outstanding prior to execution of the Equity Line Purchase Agreement, unless stockholder approval is obtained to issue in excess of such amount. Therefore, we may not in the future have access to (i) the full amount available to us under the Equity Line Purchase Agreement due to the price of our Class A common stock and (ii) the other amounts available under the additional tranches from the Selling Stockholders. In addition, any amounts we may obtain from these financing sources may not satisfy all of our funding needs, even if we are able and choose to sell and issue all of our Class A common stock currently registered.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2" w:right="31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5"/>
          <w:szCs w:val="15"/>
          <w:color w:val="auto"/>
        </w:rPr>
        <w:t>The extent we rely on the Equity Line Investor as a source of funding will depend on a number of factors including the prevailing market price of our Class A common stock and the extent to which we are able to secure working capital from other sources, such as the Selling Stockholders. If obtaining sufficient funding from the Equity Line Investor were to prove unavailable or prohibitively dilutive, we will need to secure a third source of funding in order to satisfy our working capital needs. Even if we sell all $5.0 million in shares of our Class A common stock under the Equity Line Purchase Agreement to the Equity Line Investor and issues additional convertible Notes to the Selling Stockholders, 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Class A common stock could be reduced. A financing could involve one or more types of securities including Class A common stock, convertible debt, or warrants to acquire Class A common stock. These securities could be issued at or below the then prevailing market price for our Class A common stock. If the issuance of new securities results in diminished rights to holders of our Class A common stock, the market price of our Class A common stock could be negatively impacted.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default on our credit obligations, our operations may be interrupted, and our business could be seriously harmed.</w:t>
      </w:r>
    </w:p>
    <w:p>
      <w:pPr>
        <w:spacing w:after="0" w:line="20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In addition to the Notes that we issued to the Selling Stockholders in the Offering that closed in February 2025, we also have a credit facility that we may draw on to finance our operations and other corporate purposes. If we default on these credit obligations, our lenders may accelerate the debt and/or foreclose on property securing the debt.</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If any of these events occur, our operations may be interrupted and our ability to fund our operations or obligations, as well as our business, could be seriously harmed. In addition, our credit facility contains operating covenants, including maintenance of certain financial ratios. Our ability to comply with these covenants may be affected by events beyond our control, and breaches of these covenants have in the past, and could in the future, result in a default under the credit facility and any future financial agreements into which we may enter. If not waived, defaults could cause our outstanding indebtedness under our credit facility and any future financing agreements that we may enter into to become immediately due and payable.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Because we do not anticipate paying any cash dividends on our capital stock in the foreseeable future, capital appreciation, if any, will be your sole source of gain.</w:t>
      </w:r>
    </w:p>
    <w:p>
      <w:pPr>
        <w:spacing w:after="0" w:line="19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We currently intend to retain all of our future earnings, if any, to finance the growth and development of our business. Any determination to pay dividends in the future will be at the discretion of our board of directors and may be restricted by our credit facilities or any future debt or preferred securities or future debt agreements we may enter into. As a result, capital appreciation, if any, of our Class A common stock will be your sole source of gain for the foreseeable future.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7"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(a) Unregistered Sales of Equity Securities.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did not issue any securities that were not registered under the Securities Act during the three months ended March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(b) Use of Proceeds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9"/>
        </w:trPr>
        <w:tc>
          <w:tcPr>
            <w:tcW w:w="56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Not applicable.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560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(c) Purchases of Equity Securities by the Issuer and Affiliated Purchasers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4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Approximate Dollar</w:t>
            </w:r>
          </w:p>
        </w:tc>
      </w:tr>
      <w:tr>
        <w:trPr>
          <w:trHeight w:val="185"/>
        </w:trPr>
        <w:tc>
          <w:tcPr>
            <w:tcW w:w="4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Shares Purchased as</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Value of Shares that</w:t>
            </w:r>
          </w:p>
        </w:tc>
      </w:tr>
      <w:tr>
        <w:trPr>
          <w:trHeight w:val="185"/>
        </w:trPr>
        <w:tc>
          <w:tcPr>
            <w:tcW w:w="4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Part of Publicly</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May Yet Be</w:t>
            </w:r>
          </w:p>
        </w:tc>
      </w:tr>
      <w:tr>
        <w:trPr>
          <w:trHeight w:val="185"/>
        </w:trPr>
        <w:tc>
          <w:tcPr>
            <w:tcW w:w="4280" w:type="dxa"/>
            <w:vAlign w:val="bottom"/>
          </w:tcPr>
          <w:p>
            <w:pPr>
              <w:spacing w:after="0"/>
              <w:rPr>
                <w:sz w:val="16"/>
                <w:szCs w:val="16"/>
                <w:color w:val="auto"/>
              </w:rPr>
            </w:pPr>
          </w:p>
        </w:tc>
        <w:tc>
          <w:tcPr>
            <w:tcW w:w="132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Average Price Paid</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Announced Plans or</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Purchased under the</w:t>
            </w:r>
          </w:p>
        </w:tc>
      </w:tr>
      <w:tr>
        <w:trPr>
          <w:trHeight w:val="203"/>
        </w:trPr>
        <w:tc>
          <w:tcPr>
            <w:tcW w:w="4280" w:type="dxa"/>
            <w:vAlign w:val="bottom"/>
          </w:tcPr>
          <w:p>
            <w:pPr>
              <w:spacing w:after="0"/>
              <w:rPr>
                <w:sz w:val="17"/>
                <w:szCs w:val="17"/>
                <w:color w:val="auto"/>
              </w:rPr>
            </w:pPr>
          </w:p>
        </w:tc>
        <w:tc>
          <w:tcPr>
            <w:tcW w:w="132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Shares Purchased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Programs</w:t>
            </w: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Plans or Programs</w:t>
            </w:r>
          </w:p>
        </w:tc>
      </w:tr>
      <w:tr>
        <w:trPr>
          <w:trHeight w:val="176"/>
        </w:trPr>
        <w:tc>
          <w:tcPr>
            <w:tcW w:w="4280" w:type="dxa"/>
            <w:vAlign w:val="bottom"/>
            <w:tcBorders>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500" w:type="dxa"/>
            <w:vAlign w:val="bottom"/>
            <w:tcBorders>
              <w:top w:val="single" w:sz="8" w:color="auto"/>
              <w:bottom w:val="single" w:sz="8" w:color="auto"/>
            </w:tcBorders>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In thousands, except per share amounts</w:t>
            </w:r>
          </w:p>
        </w:tc>
        <w:tc>
          <w:tcPr>
            <w:tcW w:w="1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Period</w:t>
            </w: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5"/>
        </w:trPr>
        <w:tc>
          <w:tcPr>
            <w:tcW w:w="5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January 2025</w:t>
            </w:r>
          </w:p>
        </w:tc>
        <w:tc>
          <w:tcPr>
            <w:tcW w:w="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February 2025</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5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March 2025</w:t>
            </w:r>
          </w:p>
        </w:tc>
        <w:tc>
          <w:tcPr>
            <w:tcW w:w="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There were no share repurchases settled in the three months ended March 31, 2025. As of March 31, 2025,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Summary of Significant Accounting Policies to our condensed consolidated financial statements included in this Quarterly Report.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54" w:name="page55"/>
    <w:bookmarkEnd w:id="54"/>
    <w:p>
      <w:pPr>
        <w:ind w:left="8"/>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201"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None.</w:t>
      </w:r>
    </w:p>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201"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Not applicable.</w:t>
      </w:r>
    </w:p>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201" w:lineRule="exact"/>
        <w:rPr>
          <w:sz w:val="20"/>
          <w:szCs w:val="20"/>
          <w:color w:val="auto"/>
        </w:rPr>
      </w:pPr>
    </w:p>
    <w:p>
      <w:pPr>
        <w:ind w:left="8" w:right="20" w:firstLine="277"/>
        <w:spacing w:after="0" w:line="293" w:lineRule="auto"/>
        <w:rPr>
          <w:sz w:val="20"/>
          <w:szCs w:val="20"/>
          <w:color w:val="auto"/>
        </w:rPr>
      </w:pPr>
      <w:r>
        <w:rPr>
          <w:rFonts w:ascii="Times New Roman" w:cs="Times New Roman" w:eastAsia="Times New Roman" w:hAnsi="Times New Roman"/>
          <w:sz w:val="15"/>
          <w:szCs w:val="15"/>
          <w:color w:val="auto"/>
        </w:rPr>
        <w:t>During the quarter ended March 31, 2025, no director or officer of the Company adopted or terminated any “Rule 10b5-1 trading arrangement” or “non-Rule 10b5-1 trading arrangement,” as each term is defined in Item 408(a) of Regulation S-K.</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gridSpan w:val="6"/>
          </w:tcPr>
          <w:p>
            <w:pPr>
              <w:ind w:left="26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69"/>
        </w:trPr>
        <w:tc>
          <w:tcPr>
            <w:tcW w:w="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tc>
      </w:tr>
      <w:tr>
        <w:trPr>
          <w:trHeight w:val="176"/>
        </w:trPr>
        <w:tc>
          <w:tcPr>
            <w:tcW w:w="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80" w:type="dxa"/>
            <w:vAlign w:val="bottom"/>
            <w:gridSpan w:val="9"/>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Form</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File No.</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Filing Date</w:t>
            </w:r>
          </w:p>
        </w:tc>
      </w:tr>
      <w:tr>
        <w:trPr>
          <w:trHeight w:val="176"/>
        </w:trPr>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165"/>
        </w:trPr>
        <w:tc>
          <w:tcPr>
            <w:tcW w:w="7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14"/>
                <w:szCs w:val="14"/>
                <w:color w:val="auto"/>
              </w:rPr>
            </w:pPr>
          </w:p>
        </w:tc>
        <w:tc>
          <w:tcPr>
            <w:tcW w:w="6820" w:type="dxa"/>
            <w:vAlign w:val="bottom"/>
            <w:gridSpan w:val="13"/>
            <w:shd w:val="clear" w:color="auto" w:fill="CCEEFF"/>
          </w:tcPr>
          <w:p>
            <w:pPr>
              <w:spacing w:after="0" w:line="150" w:lineRule="exact"/>
              <w:rPr>
                <w:rFonts w:ascii="Times New Roman" w:cs="Times New Roman" w:eastAsia="Times New Roman" w:hAnsi="Times New Roman"/>
                <w:sz w:val="15"/>
                <w:szCs w:val="15"/>
                <w:color w:val="0000EE"/>
              </w:rPr>
            </w:pPr>
            <w:hyperlink r:id="rId78">
              <w:r>
                <w:rPr>
                  <w:rFonts w:ascii="Times New Roman" w:cs="Times New Roman" w:eastAsia="Times New Roman" w:hAnsi="Times New Roman"/>
                  <w:sz w:val="15"/>
                  <w:szCs w:val="15"/>
                  <w:color w:val="0000EE"/>
                </w:rPr>
                <w:t>Amended and Restated Certificate of Incorporation of Snail, Inc.</w:t>
              </w:r>
            </w:hyperlink>
          </w:p>
        </w:tc>
        <w:tc>
          <w:tcPr>
            <w:tcW w:w="640" w:type="dxa"/>
            <w:vAlign w:val="bottom"/>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72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5"/>
              </w:rPr>
              <w:t>3.1</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November 15, 2022</w:t>
            </w:r>
          </w:p>
        </w:tc>
      </w:tr>
      <w:tr>
        <w:trPr>
          <w:trHeight w:val="185"/>
        </w:trPr>
        <w:tc>
          <w:tcPr>
            <w:tcW w:w="7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r>
      <w:tr>
        <w:trPr>
          <w:trHeight w:val="165"/>
        </w:trPr>
        <w:tc>
          <w:tcPr>
            <w:tcW w:w="7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4"/>
                <w:szCs w:val="14"/>
                <w:color w:val="auto"/>
              </w:rPr>
            </w:pPr>
          </w:p>
        </w:tc>
        <w:tc>
          <w:tcPr>
            <w:tcW w:w="6820" w:type="dxa"/>
            <w:vAlign w:val="bottom"/>
            <w:gridSpan w:val="13"/>
            <w:shd w:val="clear" w:color="auto" w:fill="CCEEFF"/>
          </w:tcPr>
          <w:p>
            <w:pPr>
              <w:spacing w:after="0" w:line="150" w:lineRule="exact"/>
              <w:rPr>
                <w:rFonts w:ascii="Times New Roman" w:cs="Times New Roman" w:eastAsia="Times New Roman" w:hAnsi="Times New Roman"/>
                <w:sz w:val="15"/>
                <w:szCs w:val="15"/>
                <w:color w:val="0000EE"/>
              </w:rPr>
            </w:pPr>
            <w:hyperlink r:id="rId79">
              <w:r>
                <w:rPr>
                  <w:rFonts w:ascii="Times New Roman" w:cs="Times New Roman" w:eastAsia="Times New Roman" w:hAnsi="Times New Roman"/>
                  <w:sz w:val="15"/>
                  <w:szCs w:val="15"/>
                  <w:color w:val="0000EE"/>
                </w:rPr>
                <w:t>Amended and Restated Bylaws of Snail, Inc.</w:t>
              </w:r>
            </w:hyperlink>
          </w:p>
        </w:tc>
        <w:tc>
          <w:tcPr>
            <w:tcW w:w="640" w:type="dxa"/>
            <w:vAlign w:val="bottom"/>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72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5"/>
              </w:rPr>
              <w:t>3.2</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November 15, 2022</w:t>
            </w:r>
          </w:p>
        </w:tc>
      </w:tr>
      <w:tr>
        <w:trPr>
          <w:trHeight w:val="185"/>
        </w:trPr>
        <w:tc>
          <w:tcPr>
            <w:tcW w:w="7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r>
      <w:tr>
        <w:trPr>
          <w:trHeight w:val="165"/>
        </w:trPr>
        <w:tc>
          <w:tcPr>
            <w:tcW w:w="7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4.1</w:t>
            </w:r>
          </w:p>
        </w:tc>
        <w:tc>
          <w:tcPr>
            <w:tcW w:w="120" w:type="dxa"/>
            <w:vAlign w:val="bottom"/>
            <w:shd w:val="clear" w:color="auto" w:fill="CCEEFF"/>
          </w:tcPr>
          <w:p>
            <w:pPr>
              <w:spacing w:after="0"/>
              <w:rPr>
                <w:sz w:val="14"/>
                <w:szCs w:val="14"/>
                <w:color w:val="auto"/>
              </w:rPr>
            </w:pPr>
          </w:p>
        </w:tc>
        <w:tc>
          <w:tcPr>
            <w:tcW w:w="6820" w:type="dxa"/>
            <w:vAlign w:val="bottom"/>
            <w:gridSpan w:val="13"/>
            <w:shd w:val="clear" w:color="auto" w:fill="CCEEFF"/>
          </w:tcPr>
          <w:p>
            <w:pPr>
              <w:spacing w:after="0" w:line="150" w:lineRule="exact"/>
              <w:rPr>
                <w:rFonts w:ascii="Times New Roman" w:cs="Times New Roman" w:eastAsia="Times New Roman" w:hAnsi="Times New Roman"/>
                <w:sz w:val="15"/>
                <w:szCs w:val="15"/>
                <w:color w:val="0000EE"/>
              </w:rPr>
            </w:pPr>
            <w:hyperlink r:id="rId80">
              <w:r>
                <w:rPr>
                  <w:rFonts w:ascii="Times New Roman" w:cs="Times New Roman" w:eastAsia="Times New Roman" w:hAnsi="Times New Roman"/>
                  <w:sz w:val="15"/>
                  <w:szCs w:val="15"/>
                  <w:color w:val="0000EE"/>
                </w:rPr>
                <w:t>Form of Convertible Promissory Notes</w:t>
              </w:r>
            </w:hyperlink>
          </w:p>
        </w:tc>
        <w:tc>
          <w:tcPr>
            <w:tcW w:w="640" w:type="dxa"/>
            <w:vAlign w:val="bottom"/>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72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5"/>
              </w:rPr>
              <w:t>4.1</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February 25, 2025</w:t>
            </w:r>
          </w:p>
        </w:tc>
      </w:tr>
      <w:tr>
        <w:trPr>
          <w:trHeight w:val="185"/>
        </w:trPr>
        <w:tc>
          <w:tcPr>
            <w:tcW w:w="7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r>
      <w:tr>
        <w:trPr>
          <w:trHeight w:val="165"/>
        </w:trPr>
        <w:tc>
          <w:tcPr>
            <w:tcW w:w="7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w:t>
            </w:r>
          </w:p>
        </w:tc>
        <w:tc>
          <w:tcPr>
            <w:tcW w:w="120" w:type="dxa"/>
            <w:vAlign w:val="bottom"/>
            <w:shd w:val="clear" w:color="auto" w:fill="CCEEFF"/>
          </w:tcPr>
          <w:p>
            <w:pPr>
              <w:spacing w:after="0"/>
              <w:rPr>
                <w:sz w:val="14"/>
                <w:szCs w:val="14"/>
                <w:color w:val="auto"/>
              </w:rPr>
            </w:pPr>
          </w:p>
        </w:tc>
        <w:tc>
          <w:tcPr>
            <w:tcW w:w="6820" w:type="dxa"/>
            <w:vAlign w:val="bottom"/>
            <w:gridSpan w:val="13"/>
            <w:shd w:val="clear" w:color="auto" w:fill="CCEEFF"/>
          </w:tcPr>
          <w:p>
            <w:pPr>
              <w:spacing w:after="0" w:line="150" w:lineRule="exact"/>
              <w:rPr>
                <w:rFonts w:ascii="Times New Roman" w:cs="Times New Roman" w:eastAsia="Times New Roman" w:hAnsi="Times New Roman"/>
                <w:sz w:val="15"/>
                <w:szCs w:val="15"/>
                <w:color w:val="0000EE"/>
              </w:rPr>
            </w:pPr>
            <w:hyperlink r:id="rId81">
              <w:r>
                <w:rPr>
                  <w:rFonts w:ascii="Times New Roman" w:cs="Times New Roman" w:eastAsia="Times New Roman" w:hAnsi="Times New Roman"/>
                  <w:sz w:val="15"/>
                  <w:szCs w:val="15"/>
                  <w:color w:val="0000EE"/>
                </w:rPr>
                <w:t>Form of Securities Purchase Agreements, dated February 21, 2025</w:t>
              </w:r>
            </w:hyperlink>
          </w:p>
        </w:tc>
        <w:tc>
          <w:tcPr>
            <w:tcW w:w="640" w:type="dxa"/>
            <w:vAlign w:val="bottom"/>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72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February 25, 2025</w:t>
            </w:r>
          </w:p>
        </w:tc>
      </w:tr>
      <w:tr>
        <w:trPr>
          <w:trHeight w:val="185"/>
        </w:trPr>
        <w:tc>
          <w:tcPr>
            <w:tcW w:w="7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7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r>
      <w:tr>
        <w:trPr>
          <w:trHeight w:val="165"/>
        </w:trPr>
        <w:tc>
          <w:tcPr>
            <w:tcW w:w="7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w:t>
            </w:r>
          </w:p>
        </w:tc>
        <w:tc>
          <w:tcPr>
            <w:tcW w:w="120" w:type="dxa"/>
            <w:vAlign w:val="bottom"/>
            <w:shd w:val="clear" w:color="auto" w:fill="CCEEFF"/>
          </w:tcPr>
          <w:p>
            <w:pPr>
              <w:spacing w:after="0"/>
              <w:rPr>
                <w:sz w:val="14"/>
                <w:szCs w:val="14"/>
                <w:color w:val="auto"/>
              </w:rPr>
            </w:pPr>
          </w:p>
        </w:tc>
        <w:tc>
          <w:tcPr>
            <w:tcW w:w="6820" w:type="dxa"/>
            <w:vAlign w:val="bottom"/>
            <w:gridSpan w:val="13"/>
            <w:shd w:val="clear" w:color="auto" w:fill="CCEEFF"/>
          </w:tcPr>
          <w:p>
            <w:pPr>
              <w:spacing w:after="0" w:line="150" w:lineRule="exact"/>
              <w:rPr>
                <w:rFonts w:ascii="Times New Roman" w:cs="Times New Roman" w:eastAsia="Times New Roman" w:hAnsi="Times New Roman"/>
                <w:sz w:val="15"/>
                <w:szCs w:val="15"/>
                <w:color w:val="0000EE"/>
              </w:rPr>
            </w:pPr>
            <w:hyperlink r:id="rId82">
              <w:r>
                <w:rPr>
                  <w:rFonts w:ascii="Times New Roman" w:cs="Times New Roman" w:eastAsia="Times New Roman" w:hAnsi="Times New Roman"/>
                  <w:sz w:val="15"/>
                  <w:szCs w:val="15"/>
                  <w:color w:val="0000EE"/>
                </w:rPr>
                <w:t>Form of Registration Rights Agreements, dated February 21, 2025</w:t>
              </w:r>
            </w:hyperlink>
          </w:p>
        </w:tc>
        <w:tc>
          <w:tcPr>
            <w:tcW w:w="640" w:type="dxa"/>
            <w:vAlign w:val="bottom"/>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72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8"/>
              </w:rPr>
              <w:t>10.2</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February 25, 2025</w:t>
            </w:r>
          </w:p>
        </w:tc>
      </w:tr>
      <w:tr>
        <w:trPr>
          <w:trHeight w:val="185"/>
        </w:trPr>
        <w:tc>
          <w:tcPr>
            <w:tcW w:w="7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r>
      <w:tr>
        <w:trPr>
          <w:trHeight w:val="150"/>
        </w:trPr>
        <w:tc>
          <w:tcPr>
            <w:tcW w:w="70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31.1*</w:t>
            </w:r>
          </w:p>
        </w:tc>
        <w:tc>
          <w:tcPr>
            <w:tcW w:w="120" w:type="dxa"/>
            <w:vAlign w:val="bottom"/>
            <w:tcBorders>
              <w:bottom w:val="single" w:sz="8" w:color="CCEEFF"/>
            </w:tcBorders>
            <w:shd w:val="clear" w:color="auto" w:fill="CCEEFF"/>
          </w:tcPr>
          <w:p>
            <w:pPr>
              <w:spacing w:after="0"/>
              <w:rPr>
                <w:sz w:val="13"/>
                <w:szCs w:val="13"/>
                <w:color w:val="auto"/>
              </w:rPr>
            </w:pPr>
          </w:p>
        </w:tc>
        <w:tc>
          <w:tcPr>
            <w:tcW w:w="6720" w:type="dxa"/>
            <w:vAlign w:val="bottom"/>
            <w:tcBorders>
              <w:bottom w:val="single" w:sz="8" w:color="0000EE"/>
            </w:tcBorders>
            <w:gridSpan w:val="11"/>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Co-Chief Executive Officer Pursuant to Rules 13a-14(a) and 15d-14(a), under the Securities</w:t>
            </w: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r>
      <w:tr>
        <w:trPr>
          <w:trHeight w:val="179"/>
        </w:trPr>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20" w:type="dxa"/>
            <w:vAlign w:val="bottom"/>
            <w:gridSpan w:val="13"/>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rPr>
              <w:t>Exchange Act of 1934, as Adopted pursuant to Section 302 of the Sarbanes-Oxley Act of 2002.</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5"/>
        </w:trPr>
        <w:tc>
          <w:tcPr>
            <w:tcW w:w="7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r>
      <w:tr>
        <w:trPr>
          <w:trHeight w:val="150"/>
        </w:trPr>
        <w:tc>
          <w:tcPr>
            <w:tcW w:w="70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31.2*</w:t>
            </w:r>
          </w:p>
        </w:tc>
        <w:tc>
          <w:tcPr>
            <w:tcW w:w="120" w:type="dxa"/>
            <w:vAlign w:val="bottom"/>
            <w:tcBorders>
              <w:bottom w:val="single" w:sz="8" w:color="CCEEFF"/>
            </w:tcBorders>
            <w:shd w:val="clear" w:color="auto" w:fill="CCEEFF"/>
          </w:tcPr>
          <w:p>
            <w:pPr>
              <w:spacing w:after="0"/>
              <w:rPr>
                <w:sz w:val="13"/>
                <w:szCs w:val="13"/>
                <w:color w:val="auto"/>
              </w:rPr>
            </w:pPr>
          </w:p>
        </w:tc>
        <w:tc>
          <w:tcPr>
            <w:tcW w:w="6720" w:type="dxa"/>
            <w:vAlign w:val="bottom"/>
            <w:tcBorders>
              <w:bottom w:val="single" w:sz="8" w:color="0000EE"/>
            </w:tcBorders>
            <w:gridSpan w:val="11"/>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Chief Financial Officer Pursuant to Rules 13a-14(a) and 15d-14(a) under the Securities</w:t>
            </w: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r>
      <w:tr>
        <w:trPr>
          <w:trHeight w:val="179"/>
        </w:trPr>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20" w:type="dxa"/>
            <w:vAlign w:val="bottom"/>
            <w:gridSpan w:val="13"/>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rPr>
              <w:t>Exchange Act of 1934, as Adopted Pursuant to Section 302 of the Sarbanes-Oxley Act of 2002.</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5"/>
        </w:trPr>
        <w:tc>
          <w:tcPr>
            <w:tcW w:w="7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r>
      <w:tr>
        <w:trPr>
          <w:trHeight w:val="150"/>
        </w:trPr>
        <w:tc>
          <w:tcPr>
            <w:tcW w:w="70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32.1**</w:t>
            </w:r>
          </w:p>
        </w:tc>
        <w:tc>
          <w:tcPr>
            <w:tcW w:w="120" w:type="dxa"/>
            <w:vAlign w:val="bottom"/>
            <w:tcBorders>
              <w:bottom w:val="single" w:sz="8" w:color="CCEEFF"/>
            </w:tcBorders>
            <w:shd w:val="clear" w:color="auto" w:fill="CCEEFF"/>
          </w:tcPr>
          <w:p>
            <w:pPr>
              <w:spacing w:after="0"/>
              <w:rPr>
                <w:sz w:val="13"/>
                <w:szCs w:val="13"/>
                <w:color w:val="auto"/>
              </w:rPr>
            </w:pPr>
          </w:p>
        </w:tc>
        <w:tc>
          <w:tcPr>
            <w:tcW w:w="6720" w:type="dxa"/>
            <w:vAlign w:val="bottom"/>
            <w:tcBorders>
              <w:bottom w:val="single" w:sz="8" w:color="0000EE"/>
            </w:tcBorders>
            <w:gridSpan w:val="11"/>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Co-Chief Executive Officer Pursuant to 18 U.S.C. Section 1350, as Adopted Pursuant to</w:t>
            </w: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r>
      <w:tr>
        <w:trPr>
          <w:trHeight w:val="179"/>
        </w:trPr>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20" w:type="dxa"/>
            <w:vAlign w:val="bottom"/>
            <w:gridSpan w:val="13"/>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rPr>
              <w:t>Section 906 of the Sarbanes-Oxley Act of 2002.</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5"/>
        </w:trPr>
        <w:tc>
          <w:tcPr>
            <w:tcW w:w="7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r>
      <w:tr>
        <w:trPr>
          <w:trHeight w:val="150"/>
        </w:trPr>
        <w:tc>
          <w:tcPr>
            <w:tcW w:w="70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32.2**</w:t>
            </w:r>
          </w:p>
        </w:tc>
        <w:tc>
          <w:tcPr>
            <w:tcW w:w="120" w:type="dxa"/>
            <w:vAlign w:val="bottom"/>
            <w:tcBorders>
              <w:bottom w:val="single" w:sz="8" w:color="CCEEFF"/>
            </w:tcBorders>
            <w:shd w:val="clear" w:color="auto" w:fill="CCEEFF"/>
          </w:tcPr>
          <w:p>
            <w:pPr>
              <w:spacing w:after="0"/>
              <w:rPr>
                <w:sz w:val="13"/>
                <w:szCs w:val="13"/>
                <w:color w:val="auto"/>
              </w:rPr>
            </w:pPr>
          </w:p>
        </w:tc>
        <w:tc>
          <w:tcPr>
            <w:tcW w:w="6700" w:type="dxa"/>
            <w:vAlign w:val="bottom"/>
            <w:tcBorders>
              <w:bottom w:val="single" w:sz="8" w:color="0000EE"/>
            </w:tcBorders>
            <w:gridSpan w:val="10"/>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Chief Financial Officer Pursuant to 18 U.S.C. Section 1350, as Adopted Pursuant to Section</w:t>
            </w:r>
          </w:p>
        </w:tc>
        <w:tc>
          <w:tcPr>
            <w:tcW w:w="120" w:type="dxa"/>
            <w:vAlign w:val="bottom"/>
            <w:tcBorders>
              <w:bottom w:val="single" w:sz="8" w:color="CCEEFF"/>
            </w:tcBorders>
            <w:gridSpan w:val="3"/>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r>
      <w:tr>
        <w:trPr>
          <w:trHeight w:val="179"/>
        </w:trPr>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20" w:type="dxa"/>
            <w:vAlign w:val="bottom"/>
            <w:gridSpan w:val="13"/>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rPr>
              <w:t>906 of the Sarbanes-Oxley Act of 2002.</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5"/>
        </w:trPr>
        <w:tc>
          <w:tcPr>
            <w:tcW w:w="7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r>
      <w:tr>
        <w:trPr>
          <w:trHeight w:val="185"/>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101.INS</w:t>
            </w:r>
          </w:p>
        </w:tc>
        <w:tc>
          <w:tcPr>
            <w:tcW w:w="120" w:type="dxa"/>
            <w:vAlign w:val="bottom"/>
            <w:shd w:val="clear" w:color="auto" w:fill="CCEEFF"/>
          </w:tcPr>
          <w:p>
            <w:pPr>
              <w:spacing w:after="0"/>
              <w:rPr>
                <w:sz w:val="16"/>
                <w:szCs w:val="16"/>
                <w:color w:val="auto"/>
              </w:rPr>
            </w:pPr>
          </w:p>
        </w:tc>
        <w:tc>
          <w:tcPr>
            <w:tcW w:w="6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Instance Document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5"/>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101.SCH</w:t>
            </w:r>
          </w:p>
        </w:tc>
        <w:tc>
          <w:tcPr>
            <w:tcW w:w="120" w:type="dxa"/>
            <w:vAlign w:val="bottom"/>
            <w:shd w:val="clear" w:color="auto" w:fill="CCEEFF"/>
          </w:tcPr>
          <w:p>
            <w:pPr>
              <w:spacing w:after="0"/>
              <w:rPr>
                <w:sz w:val="16"/>
                <w:szCs w:val="16"/>
                <w:color w:val="auto"/>
              </w:rPr>
            </w:pPr>
          </w:p>
        </w:tc>
        <w:tc>
          <w:tcPr>
            <w:tcW w:w="6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5"/>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101.CAL</w:t>
            </w:r>
          </w:p>
        </w:tc>
        <w:tc>
          <w:tcPr>
            <w:tcW w:w="120" w:type="dxa"/>
            <w:vAlign w:val="bottom"/>
            <w:shd w:val="clear" w:color="auto" w:fill="CCEEFF"/>
          </w:tcPr>
          <w:p>
            <w:pPr>
              <w:spacing w:after="0"/>
              <w:rPr>
                <w:sz w:val="16"/>
                <w:szCs w:val="16"/>
                <w:color w:val="auto"/>
              </w:rPr>
            </w:pPr>
          </w:p>
        </w:tc>
        <w:tc>
          <w:tcPr>
            <w:tcW w:w="6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5"/>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101.DEF</w:t>
            </w:r>
          </w:p>
        </w:tc>
        <w:tc>
          <w:tcPr>
            <w:tcW w:w="120" w:type="dxa"/>
            <w:vAlign w:val="bottom"/>
            <w:shd w:val="clear" w:color="auto" w:fill="CCEEFF"/>
          </w:tcPr>
          <w:p>
            <w:pPr>
              <w:spacing w:after="0"/>
              <w:rPr>
                <w:sz w:val="16"/>
                <w:szCs w:val="16"/>
                <w:color w:val="auto"/>
              </w:rPr>
            </w:pPr>
          </w:p>
        </w:tc>
        <w:tc>
          <w:tcPr>
            <w:tcW w:w="6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5"/>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101.LAB</w:t>
            </w:r>
          </w:p>
        </w:tc>
        <w:tc>
          <w:tcPr>
            <w:tcW w:w="120" w:type="dxa"/>
            <w:vAlign w:val="bottom"/>
            <w:shd w:val="clear" w:color="auto" w:fill="CCEEFF"/>
          </w:tcPr>
          <w:p>
            <w:pPr>
              <w:spacing w:after="0"/>
              <w:rPr>
                <w:sz w:val="16"/>
                <w:szCs w:val="16"/>
                <w:color w:val="auto"/>
              </w:rPr>
            </w:pPr>
          </w:p>
        </w:tc>
        <w:tc>
          <w:tcPr>
            <w:tcW w:w="6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5"/>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101.PRE</w:t>
            </w:r>
          </w:p>
        </w:tc>
        <w:tc>
          <w:tcPr>
            <w:tcW w:w="120" w:type="dxa"/>
            <w:vAlign w:val="bottom"/>
            <w:shd w:val="clear" w:color="auto" w:fill="CCEEFF"/>
          </w:tcPr>
          <w:p>
            <w:pPr>
              <w:spacing w:after="0"/>
              <w:rPr>
                <w:sz w:val="16"/>
                <w:szCs w:val="16"/>
                <w:color w:val="auto"/>
              </w:rPr>
            </w:pPr>
          </w:p>
        </w:tc>
        <w:tc>
          <w:tcPr>
            <w:tcW w:w="6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bl>
    <w:p>
      <w:pPr>
        <w:spacing w:after="0" w:line="170" w:lineRule="exact"/>
        <w:rPr>
          <w:sz w:val="20"/>
          <w:szCs w:val="20"/>
          <w:color w:val="auto"/>
        </w:rPr>
      </w:pPr>
    </w:p>
    <w:p>
      <w:pPr>
        <w:ind w:left="828" w:hanging="828"/>
        <w:spacing w:after="0"/>
        <w:tabs>
          <w:tab w:leader="none" w:pos="828"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w:t>
      </w:r>
    </w:p>
    <w:p>
      <w:pPr>
        <w:spacing w:after="0" w:line="196"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7152005" cy="1174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77"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These certifications are being furnished solely to accompany this Quarterly Report on Form 10-Q pursuant to 18 U.S.C. Section 1350, and are not being filed for purposes of</w:t>
      </w:r>
    </w:p>
    <w:p>
      <w:pPr>
        <w:spacing w:after="0" w:line="27" w:lineRule="exact"/>
        <w:rPr>
          <w:sz w:val="20"/>
          <w:szCs w:val="20"/>
          <w:color w:val="auto"/>
        </w:rPr>
      </w:pPr>
    </w:p>
    <w:p>
      <w:pPr>
        <w:ind w:left="548" w:right="20" w:hanging="548"/>
        <w:spacing w:after="0" w:line="273" w:lineRule="auto"/>
        <w:tabs>
          <w:tab w:leader="none" w:pos="54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18 of the Securities Exchange Act of 1934 and are not to be incorporated by reference into any filing of Snail, Inc., whether made before or after the date hereof, regardless of any general incorporation language in such filing.</w:t>
      </w:r>
    </w:p>
    <w:p>
      <w:pPr>
        <w:spacing w:after="0" w:line="1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200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8"/>
          </w:cols>
          <w:pgMar w:left="312" w:top="583"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201" w:lineRule="exact"/>
        <w:rPr>
          <w:sz w:val="20"/>
          <w:szCs w:val="20"/>
          <w:color w:val="auto"/>
        </w:rPr>
      </w:pPr>
    </w:p>
    <w:p>
      <w:pPr>
        <w:ind w:firstLine="277"/>
        <w:spacing w:after="0" w:line="293"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as amended, the Registrant has duly caused this Report to be signed on its behalf by the undersigned, thereunto duly authorized, in Culver City, California, on May 14, 2025</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Snail, Inc.</w:t>
      </w:r>
    </w:p>
    <w:p>
      <w:pPr>
        <w:spacing w:after="0" w:line="19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5"/>
          <w:szCs w:val="15"/>
          <w:color w:val="auto"/>
        </w:rPr>
        <w:t>Date: May 14, 2025</w:t>
      </w:r>
      <w:r>
        <w:rPr>
          <w:sz w:val="20"/>
          <w:szCs w:val="20"/>
          <w:color w:val="auto"/>
        </w:rPr>
        <w:tab/>
      </w: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Xuedong Tian</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Xuedong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-108585</wp:posOffset>
            </wp:positionV>
            <wp:extent cx="335597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355975" cy="7620"/>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Co-Chief Executive Officer</w:t>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(Co-Principal Executive Officer)</w:t>
      </w:r>
    </w:p>
    <w:p>
      <w:pPr>
        <w:spacing w:after="0" w:line="17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5"/>
          <w:szCs w:val="15"/>
          <w:color w:val="auto"/>
        </w:rPr>
        <w:t>Date: May 14, 2025</w:t>
      </w:r>
      <w:r>
        <w:rPr>
          <w:sz w:val="20"/>
          <w:szCs w:val="20"/>
          <w:color w:val="auto"/>
        </w:rPr>
        <w:tab/>
      </w: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Heidy Chow</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-108585</wp:posOffset>
            </wp:positionV>
            <wp:extent cx="335597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355975" cy="7620"/>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(Principal Financial Officer and Principal Accounting Officer)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200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583"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7" w:lineRule="exact"/>
        <w:rPr>
          <w:sz w:val="20"/>
          <w:szCs w:val="20"/>
          <w:color w:val="auto"/>
        </w:rPr>
      </w:pPr>
    </w:p>
    <w:p>
      <w:pPr>
        <w:jc w:val="center"/>
        <w:ind w:left="320" w:right="2020"/>
        <w:spacing w:after="0" w:line="278" w:lineRule="auto"/>
        <w:rPr>
          <w:sz w:val="20"/>
          <w:szCs w:val="20"/>
          <w:color w:val="auto"/>
        </w:rPr>
      </w:pPr>
      <w:r>
        <w:rPr>
          <w:rFonts w:ascii="Times New Roman" w:cs="Times New Roman" w:eastAsia="Times New Roman" w:hAnsi="Times New Roman"/>
          <w:sz w:val="15"/>
          <w:szCs w:val="15"/>
          <w:b w:val="1"/>
          <w:bCs w:val="1"/>
          <w:color w:val="auto"/>
        </w:rPr>
        <w:t>CERTIFICATION OF CO-CHIEF EXECUTIVE OFFICER PURSUANT TO RULE 13a-14(a) AND RULE 15d-14(a) OF THE SECURITIES EXCHANGE ACT OF 1934, AS ADOPTED PURSUANT TO SECTION 302 OF THE SARBANES-OXLEY ACT OF 2002</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 Xuedong Tian, certify that:</w:t>
      </w:r>
    </w:p>
    <w:p>
      <w:pPr>
        <w:spacing w:after="0" w:line="197" w:lineRule="exact"/>
        <w:rPr>
          <w:sz w:val="20"/>
          <w:szCs w:val="20"/>
          <w:color w:val="auto"/>
        </w:rPr>
      </w:pPr>
    </w:p>
    <w:p>
      <w:pPr>
        <w:ind w:left="268" w:hanging="268"/>
        <w:spacing w:after="0"/>
        <w:tabs>
          <w:tab w:leader="none" w:pos="26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for the period ended March 31, 2025 of Snail, Inc;</w:t>
      </w:r>
    </w:p>
    <w:p>
      <w:pPr>
        <w:spacing w:after="0" w:line="196"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5"/>
          <w:szCs w:val="15"/>
          <w:color w:val="auto"/>
        </w:rPr>
      </w:pPr>
    </w:p>
    <w:p>
      <w:pPr>
        <w:ind w:left="268" w:right="20" w:hanging="268"/>
        <w:spacing w:after="0" w:line="293" w:lineRule="auto"/>
        <w:tabs>
          <w:tab w:leader="none" w:pos="26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5"/>
          <w:szCs w:val="15"/>
          <w:color w:val="auto"/>
        </w:rPr>
      </w:pPr>
    </w:p>
    <w:p>
      <w:pPr>
        <w:jc w:val="both"/>
        <w:ind w:left="548" w:hanging="271"/>
        <w:spacing w:after="0" w:line="275" w:lineRule="auto"/>
        <w:tabs>
          <w:tab w:leader="none" w:pos="548"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5"/>
          <w:szCs w:val="15"/>
          <w:color w:val="auto"/>
        </w:rPr>
      </w:pPr>
    </w:p>
    <w:p>
      <w:pPr>
        <w:jc w:val="both"/>
        <w:ind w:left="548" w:right="20" w:hanging="271"/>
        <w:spacing w:after="0" w:line="275" w:lineRule="auto"/>
        <w:tabs>
          <w:tab w:leader="none" w:pos="548"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5"/>
          <w:szCs w:val="15"/>
          <w:color w:val="auto"/>
        </w:rPr>
      </w:pPr>
    </w:p>
    <w:p>
      <w:pPr>
        <w:ind w:left="548" w:hanging="271"/>
        <w:spacing w:after="0" w:line="293" w:lineRule="auto"/>
        <w:tabs>
          <w:tab w:leader="none" w:pos="548"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5"/>
          <w:szCs w:val="15"/>
          <w:color w:val="auto"/>
        </w:rPr>
      </w:pPr>
    </w:p>
    <w:p>
      <w:pPr>
        <w:jc w:val="both"/>
        <w:ind w:left="548" w:hanging="271"/>
        <w:spacing w:after="0" w:line="275" w:lineRule="auto"/>
        <w:tabs>
          <w:tab w:leader="none" w:pos="548"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Times New Roman" w:cs="Times New Roman" w:eastAsia="Times New Roman" w:hAnsi="Times New Roman"/>
          <w:sz w:val="15"/>
          <w:szCs w:val="15"/>
          <w:color w:val="auto"/>
        </w:rPr>
      </w:pPr>
    </w:p>
    <w:p>
      <w:pPr>
        <w:ind w:left="548" w:right="20" w:hanging="271"/>
        <w:spacing w:after="0" w:line="293" w:lineRule="auto"/>
        <w:tabs>
          <w:tab w:leader="none" w:pos="548"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Date: May 14, 2025</w:t>
            </w:r>
          </w:p>
        </w:tc>
        <w:tc>
          <w:tcPr>
            <w:tcW w:w="7840" w:type="dxa"/>
            <w:vAlign w:val="bottom"/>
            <w:gridSpan w:val="2"/>
          </w:tcPr>
          <w:p>
            <w:pPr>
              <w:ind w:left="222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Xuedong Tian</w:t>
            </w:r>
          </w:p>
        </w:tc>
      </w:tr>
      <w:tr>
        <w:trPr>
          <w:trHeight w:val="162"/>
        </w:trPr>
        <w:tc>
          <w:tcPr>
            <w:tcW w:w="3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Xuedong Tian</w:t>
            </w:r>
          </w:p>
        </w:tc>
      </w:tr>
      <w:tr>
        <w:trPr>
          <w:trHeight w:val="185"/>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Co-Chief Executive Officer</w:t>
            </w:r>
          </w:p>
        </w:tc>
      </w:tr>
      <w:tr>
        <w:trPr>
          <w:trHeight w:val="199"/>
        </w:trPr>
        <w:tc>
          <w:tcPr>
            <w:tcW w:w="3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(Co-Principal Executive Officer)</w:t>
            </w:r>
          </w:p>
        </w:tc>
      </w:tr>
      <w:tr>
        <w:trPr>
          <w:trHeight w:val="369"/>
        </w:trPr>
        <w:tc>
          <w:tcPr>
            <w:tcW w:w="3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306"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7" w:lineRule="exact"/>
        <w:rPr>
          <w:sz w:val="20"/>
          <w:szCs w:val="20"/>
          <w:color w:val="auto"/>
        </w:rPr>
      </w:pPr>
    </w:p>
    <w:p>
      <w:pPr>
        <w:jc w:val="center"/>
        <w:ind w:left="320" w:right="2020"/>
        <w:spacing w:after="0" w:line="278" w:lineRule="auto"/>
        <w:rPr>
          <w:sz w:val="20"/>
          <w:szCs w:val="20"/>
          <w:color w:val="auto"/>
        </w:rPr>
      </w:pPr>
      <w:r>
        <w:rPr>
          <w:rFonts w:ascii="Times New Roman" w:cs="Times New Roman" w:eastAsia="Times New Roman" w:hAnsi="Times New Roman"/>
          <w:sz w:val="15"/>
          <w:szCs w:val="15"/>
          <w:b w:val="1"/>
          <w:bCs w:val="1"/>
          <w:color w:val="auto"/>
        </w:rPr>
        <w:t>CERTIFICATION OF CHIEF FINANCIAL OFFICER PURSUANT TO RULE 13a-14(a) AND RULE 15d-14(a) OF THE SECURITIES EXCHANGE ACT OF 1934, AS ADOPTED PURSUANT TO SECTION 302 OF THE SARBANES-OXLEY ACT OF 2002</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 Heidy Chow, certify that:</w:t>
      </w:r>
    </w:p>
    <w:p>
      <w:pPr>
        <w:spacing w:after="0" w:line="197" w:lineRule="exact"/>
        <w:rPr>
          <w:sz w:val="20"/>
          <w:szCs w:val="20"/>
          <w:color w:val="auto"/>
        </w:rPr>
      </w:pPr>
    </w:p>
    <w:p>
      <w:pPr>
        <w:ind w:left="268" w:hanging="268"/>
        <w:spacing w:after="0"/>
        <w:tabs>
          <w:tab w:leader="none" w:pos="268"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for the period ended March 31, 2025 of Snail, Inc.;</w:t>
      </w:r>
    </w:p>
    <w:p>
      <w:pPr>
        <w:spacing w:after="0" w:line="196"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5"/>
          <w:szCs w:val="15"/>
          <w:color w:val="auto"/>
        </w:rPr>
      </w:pPr>
    </w:p>
    <w:p>
      <w:pPr>
        <w:ind w:left="268" w:right="20" w:hanging="268"/>
        <w:spacing w:after="0" w:line="293" w:lineRule="auto"/>
        <w:tabs>
          <w:tab w:leader="none" w:pos="268"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5"/>
          <w:szCs w:val="15"/>
          <w:color w:val="auto"/>
        </w:rPr>
      </w:pPr>
    </w:p>
    <w:p>
      <w:pPr>
        <w:jc w:val="both"/>
        <w:ind w:left="548" w:hanging="271"/>
        <w:spacing w:after="0" w:line="275" w:lineRule="auto"/>
        <w:tabs>
          <w:tab w:leader="none" w:pos="548"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5"/>
          <w:szCs w:val="15"/>
          <w:color w:val="auto"/>
        </w:rPr>
      </w:pPr>
    </w:p>
    <w:p>
      <w:pPr>
        <w:jc w:val="both"/>
        <w:ind w:left="548" w:right="20" w:hanging="271"/>
        <w:spacing w:after="0" w:line="275" w:lineRule="auto"/>
        <w:tabs>
          <w:tab w:leader="none" w:pos="548"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5"/>
          <w:szCs w:val="15"/>
          <w:color w:val="auto"/>
        </w:rPr>
      </w:pPr>
    </w:p>
    <w:p>
      <w:pPr>
        <w:ind w:left="548" w:hanging="271"/>
        <w:spacing w:after="0" w:line="293" w:lineRule="auto"/>
        <w:tabs>
          <w:tab w:leader="none" w:pos="548"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5"/>
          <w:szCs w:val="15"/>
          <w:color w:val="auto"/>
        </w:rPr>
      </w:pPr>
    </w:p>
    <w:p>
      <w:pPr>
        <w:jc w:val="both"/>
        <w:ind w:left="548" w:hanging="271"/>
        <w:spacing w:after="0" w:line="275" w:lineRule="auto"/>
        <w:tabs>
          <w:tab w:leader="none" w:pos="548"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5"/>
          <w:szCs w:val="15"/>
          <w:color w:val="auto"/>
        </w:rPr>
      </w:pPr>
    </w:p>
    <w:p>
      <w:pPr>
        <w:ind w:left="268" w:hanging="268"/>
        <w:spacing w:after="0" w:line="293" w:lineRule="auto"/>
        <w:tabs>
          <w:tab w:leader="none" w:pos="268"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Times New Roman" w:cs="Times New Roman" w:eastAsia="Times New Roman" w:hAnsi="Times New Roman"/>
          <w:sz w:val="15"/>
          <w:szCs w:val="15"/>
          <w:color w:val="auto"/>
        </w:rPr>
      </w:pPr>
    </w:p>
    <w:p>
      <w:pPr>
        <w:ind w:left="548" w:right="20" w:hanging="271"/>
        <w:spacing w:after="0" w:line="293" w:lineRule="auto"/>
        <w:tabs>
          <w:tab w:leader="none" w:pos="548"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Date: May 14, 2025</w:t>
            </w:r>
          </w:p>
        </w:tc>
        <w:tc>
          <w:tcPr>
            <w:tcW w:w="7840" w:type="dxa"/>
            <w:vAlign w:val="bottom"/>
            <w:gridSpan w:val="2"/>
          </w:tcPr>
          <w:p>
            <w:pPr>
              <w:ind w:left="222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Heidy Chow</w:t>
            </w:r>
          </w:p>
        </w:tc>
      </w:tr>
      <w:tr>
        <w:trPr>
          <w:trHeight w:val="162"/>
        </w:trPr>
        <w:tc>
          <w:tcPr>
            <w:tcW w:w="3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Heidy Chow</w:t>
            </w:r>
          </w:p>
        </w:tc>
      </w:tr>
      <w:tr>
        <w:trPr>
          <w:trHeight w:val="185"/>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99"/>
        </w:trPr>
        <w:tc>
          <w:tcPr>
            <w:tcW w:w="3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tc>
      </w:tr>
      <w:tr>
        <w:trPr>
          <w:trHeight w:val="369"/>
        </w:trPr>
        <w:tc>
          <w:tcPr>
            <w:tcW w:w="3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306"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CERTIFICATION OF THE CO-CHIEF EXECUTIVE OFFICER</w:t>
      </w:r>
    </w:p>
    <w:p>
      <w:pPr>
        <w:spacing w:after="0" w:line="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PURSUANT TO 18 U.S.C. SECTION 1350,</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82" w:lineRule="exact"/>
        <w:rPr>
          <w:sz w:val="20"/>
          <w:szCs w:val="20"/>
          <w:color w:val="auto"/>
        </w:rPr>
      </w:pPr>
    </w:p>
    <w:p>
      <w:pPr>
        <w:jc w:val="both"/>
        <w:ind w:left="8" w:firstLine="554"/>
        <w:spacing w:after="0" w:line="287" w:lineRule="auto"/>
        <w:rPr>
          <w:sz w:val="20"/>
          <w:szCs w:val="20"/>
          <w:color w:val="auto"/>
        </w:rPr>
      </w:pPr>
      <w:r>
        <w:rPr>
          <w:rFonts w:ascii="Times New Roman" w:cs="Times New Roman" w:eastAsia="Times New Roman" w:hAnsi="Times New Roman"/>
          <w:sz w:val="15"/>
          <w:szCs w:val="15"/>
          <w:color w:val="auto"/>
        </w:rPr>
        <w:t>In connection with the Quarterly Report of Snail, Inc. (the “Company”) on Form 10-Q for the quarter ended March 31, 2025 (the “Report”), I, Xuedong Tian, Co-Chief Executive Officer of the Company, certify, pursuant to 18 U.S.C. Section 1350, as adopted pursuant to Section 906 of the Sarbanes-Oxley Act of 2002, that, to the best of my knowledge:</w:t>
      </w:r>
    </w:p>
    <w:p>
      <w:pPr>
        <w:spacing w:after="0" w:line="326" w:lineRule="exact"/>
        <w:rPr>
          <w:sz w:val="20"/>
          <w:szCs w:val="20"/>
          <w:color w:val="auto"/>
        </w:rPr>
      </w:pPr>
    </w:p>
    <w:p>
      <w:pPr>
        <w:ind w:left="268" w:hanging="268"/>
        <w:spacing w:after="0"/>
        <w:tabs>
          <w:tab w:leader="none" w:pos="268"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Date: May 14, 2025</w:t>
            </w:r>
          </w:p>
        </w:tc>
        <w:tc>
          <w:tcPr>
            <w:tcW w:w="276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Xuedong Tian</w:t>
            </w:r>
          </w:p>
        </w:tc>
      </w:tr>
      <w:tr>
        <w:trPr>
          <w:trHeight w:val="162"/>
        </w:trPr>
        <w:tc>
          <w:tcPr>
            <w:tcW w:w="3420" w:type="dxa"/>
            <w:vAlign w:val="bottom"/>
          </w:tcPr>
          <w:p>
            <w:pPr>
              <w:spacing w:after="0"/>
              <w:rPr>
                <w:sz w:val="14"/>
                <w:szCs w:val="14"/>
                <w:color w:val="auto"/>
              </w:rPr>
            </w:pPr>
          </w:p>
        </w:tc>
        <w:tc>
          <w:tcPr>
            <w:tcW w:w="2760" w:type="dxa"/>
            <w:vAlign w:val="bottom"/>
          </w:tcPr>
          <w:p>
            <w:pPr>
              <w:ind w:left="2220"/>
              <w:spacing w:after="0" w:line="162"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Xuedong Tian</w:t>
            </w:r>
          </w:p>
        </w:tc>
      </w:tr>
      <w:tr>
        <w:trPr>
          <w:trHeight w:val="185"/>
        </w:trPr>
        <w:tc>
          <w:tcPr>
            <w:tcW w:w="3420" w:type="dxa"/>
            <w:vAlign w:val="bottom"/>
          </w:tcPr>
          <w:p>
            <w:pPr>
              <w:spacing w:after="0"/>
              <w:rPr>
                <w:sz w:val="16"/>
                <w:szCs w:val="16"/>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Co-Chief Executive Officer</w:t>
            </w:r>
          </w:p>
        </w:tc>
      </w:tr>
      <w:tr>
        <w:trPr>
          <w:trHeight w:val="199"/>
        </w:trPr>
        <w:tc>
          <w:tcPr>
            <w:tcW w:w="34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(Co-Principal Executive Officer)</w:t>
            </w:r>
          </w:p>
        </w:tc>
      </w:tr>
      <w:tr>
        <w:trPr>
          <w:trHeight w:val="369"/>
        </w:trPr>
        <w:tc>
          <w:tcPr>
            <w:tcW w:w="34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306"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CERTIFICATION OF THE CHIEF FINANCIAL OFFICER</w:t>
      </w:r>
    </w:p>
    <w:p>
      <w:pPr>
        <w:spacing w:after="0" w:line="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PURSUANT TO 18 U.S.C. SECTION 1350,</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82" w:lineRule="exact"/>
        <w:rPr>
          <w:sz w:val="20"/>
          <w:szCs w:val="20"/>
          <w:color w:val="auto"/>
        </w:rPr>
      </w:pPr>
    </w:p>
    <w:p>
      <w:pPr>
        <w:ind w:left="8" w:right="20" w:firstLine="554"/>
        <w:spacing w:after="0" w:line="293" w:lineRule="auto"/>
        <w:rPr>
          <w:sz w:val="20"/>
          <w:szCs w:val="20"/>
          <w:color w:val="auto"/>
        </w:rPr>
      </w:pPr>
      <w:r>
        <w:rPr>
          <w:rFonts w:ascii="Times New Roman" w:cs="Times New Roman" w:eastAsia="Times New Roman" w:hAnsi="Times New Roman"/>
          <w:sz w:val="15"/>
          <w:szCs w:val="15"/>
          <w:color w:val="auto"/>
        </w:rPr>
        <w:t>In connection with the Quarterly Report of Snail, Inc. (the “Company”) on Form 10-Q for the quarter ended March 31, 2025 (the “Report”), I, Heidy Chow, Chief Financial Officer of the Company, certify, pursuant to 18 U.S.C. Section 1350, as adopted pursuant to Section 906 of the Sarbanes-Oxley Act of 2002, that, to the best of my knowledge:</w:t>
      </w:r>
    </w:p>
    <w:p>
      <w:pPr>
        <w:spacing w:after="0" w:line="133" w:lineRule="exact"/>
        <w:rPr>
          <w:sz w:val="20"/>
          <w:szCs w:val="20"/>
          <w:color w:val="auto"/>
        </w:rPr>
      </w:pPr>
    </w:p>
    <w:p>
      <w:pPr>
        <w:ind w:left="268" w:hanging="268"/>
        <w:spacing w:after="0"/>
        <w:tabs>
          <w:tab w:leader="none" w:pos="268"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Date: May 14, 2025</w:t>
            </w:r>
          </w:p>
        </w:tc>
        <w:tc>
          <w:tcPr>
            <w:tcW w:w="276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Heidy Chow</w:t>
            </w:r>
          </w:p>
        </w:tc>
      </w:tr>
      <w:tr>
        <w:trPr>
          <w:trHeight w:val="162"/>
        </w:trPr>
        <w:tc>
          <w:tcPr>
            <w:tcW w:w="3420" w:type="dxa"/>
            <w:vAlign w:val="bottom"/>
          </w:tcPr>
          <w:p>
            <w:pPr>
              <w:spacing w:after="0"/>
              <w:rPr>
                <w:sz w:val="14"/>
                <w:szCs w:val="14"/>
                <w:color w:val="auto"/>
              </w:rPr>
            </w:pPr>
          </w:p>
        </w:tc>
        <w:tc>
          <w:tcPr>
            <w:tcW w:w="2760" w:type="dxa"/>
            <w:vAlign w:val="bottom"/>
          </w:tcPr>
          <w:p>
            <w:pPr>
              <w:ind w:left="2220"/>
              <w:spacing w:after="0" w:line="162"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Heidy Chow</w:t>
            </w:r>
          </w:p>
        </w:tc>
      </w:tr>
      <w:tr>
        <w:trPr>
          <w:trHeight w:val="185"/>
        </w:trPr>
        <w:tc>
          <w:tcPr>
            <w:tcW w:w="3420" w:type="dxa"/>
            <w:vAlign w:val="bottom"/>
          </w:tcPr>
          <w:p>
            <w:pPr>
              <w:spacing w:after="0"/>
              <w:rPr>
                <w:sz w:val="16"/>
                <w:szCs w:val="16"/>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99"/>
        </w:trPr>
        <w:tc>
          <w:tcPr>
            <w:tcW w:w="34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tc>
      </w:tr>
      <w:tr>
        <w:trPr>
          <w:trHeight w:val="369"/>
        </w:trPr>
        <w:tc>
          <w:tcPr>
            <w:tcW w:w="34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8"/>
      </w:cols>
      <w:pgMar w:left="312"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Roman"/>
      <w:start w:val="2"/>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78" Type="http://schemas.openxmlformats.org/officeDocument/2006/relationships/hyperlink" Target="https://www.sec.gov/Archives/edgar/data/1886894/000110465922118795/tm2128835d28_ex3-1.htm" TargetMode="External"/><Relationship Id="rId79" Type="http://schemas.openxmlformats.org/officeDocument/2006/relationships/hyperlink" Target="https://www.sec.gov/Archives/edgar/data/1886894/000110465922118795/tm2128835d28_ex3-2.htm" TargetMode="External"/><Relationship Id="rId80" Type="http://schemas.openxmlformats.org/officeDocument/2006/relationships/hyperlink" Target="https://www.sec.gov/Archives/edgar/data/1886894/000149315225008202/ex4-1.htm" TargetMode="External"/><Relationship Id="rId81" Type="http://schemas.openxmlformats.org/officeDocument/2006/relationships/hyperlink" Target="https://www.sec.gov/Archives/edgar/data/1886894/000149315225008202/ex10-1.htm" TargetMode="External"/><Relationship Id="rId82" Type="http://schemas.openxmlformats.org/officeDocument/2006/relationships/hyperlink" Target="https://www.sec.gov/Archives/edgar/data/1886894/000149315225008202/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2025-05-14T16:51:45Z</dcterms:created>
  <dcterms:modified xsi:type="dcterms:W3CDTF">2025-05-14T16:51:45Z</dcterms:modified>
</cp:coreProperties>
</file>