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199390</wp:posOffset>
            </wp:positionH>
            <wp:positionV relativeFrom="page">
              <wp:posOffset>267970</wp:posOffset>
            </wp:positionV>
            <wp:extent cx="715010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37465"/>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313055</wp:posOffset>
            </wp:positionV>
            <wp:extent cx="715010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15240"/>
                    </a:xfrm>
                    <a:prstGeom prst="rect">
                      <a:avLst/>
                    </a:prstGeom>
                    <a:noFill/>
                  </pic:spPr>
                </pic:pic>
              </a:graphicData>
            </a:graphic>
          </wp:anchor>
        </w:drawing>
        <w:t>UNITED STATES</w:t>
      </w:r>
    </w:p>
    <w:p>
      <w:pPr>
        <w:spacing w:after="0" w:line="3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15010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33"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15010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99"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2" w:lineRule="exact"/>
        <w:rPr>
          <w:sz w:val="24"/>
          <w:szCs w:val="24"/>
          <w:color w:val="auto"/>
        </w:rPr>
      </w:pPr>
    </w:p>
    <w:p>
      <w:pPr>
        <w:ind w:left="4146" w:right="3060" w:hanging="4146"/>
        <w:spacing w:after="0" w:line="490" w:lineRule="auto"/>
        <w:tabs>
          <w:tab w:leader="none" w:pos="55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ind w:left="5506"/>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192" w:lineRule="exact"/>
        <w:rPr>
          <w:sz w:val="24"/>
          <w:szCs w:val="24"/>
          <w:color w:val="auto"/>
        </w:rPr>
      </w:pPr>
    </w:p>
    <w:p>
      <w:pPr>
        <w:ind w:left="566" w:right="20" w:hanging="566"/>
        <w:spacing w:after="0" w:line="273" w:lineRule="auto"/>
        <w:tabs>
          <w:tab w:leader="none" w:pos="566"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146" w:lineRule="exact"/>
        <w:rPr>
          <w:sz w:val="24"/>
          <w:szCs w:val="24"/>
          <w:color w:val="auto"/>
        </w:rPr>
      </w:pPr>
    </w:p>
    <w:tbl>
      <w:tblPr>
        <w:tblLayout w:type="fixed"/>
        <w:tblInd w:w="6" w:type="dxa"/>
        <w:tblCellMar>
          <w:top w:w="0" w:type="dxa"/>
          <w:left w:w="0" w:type="dxa"/>
          <w:bottom w:w="0" w:type="dxa"/>
          <w:right w:w="0" w:type="dxa"/>
        </w:tblCellMar>
      </w:tblPr>
      <w:tr>
        <w:trPr>
          <w:trHeight w:val="206"/>
        </w:trPr>
        <w:tc>
          <w:tcPr>
            <w:tcW w:w="7640" w:type="dxa"/>
            <w:vAlign w:val="bottom"/>
          </w:tcPr>
          <w:p>
            <w:pPr>
              <w:jc w:val="center"/>
              <w:ind w:left="3515"/>
              <w:spacing w:after="0"/>
              <w:rPr>
                <w:sz w:val="20"/>
                <w:szCs w:val="20"/>
                <w:color w:val="auto"/>
              </w:rPr>
            </w:pPr>
            <w:r>
              <w:rPr>
                <w:rFonts w:ascii="Times New Roman" w:cs="Times New Roman" w:eastAsia="Times New Roman" w:hAnsi="Times New Roman"/>
                <w:sz w:val="16"/>
                <w:szCs w:val="16"/>
                <w:b w:val="1"/>
                <w:bCs w:val="1"/>
                <w:color w:val="auto"/>
                <w:w w:val="98"/>
              </w:rPr>
              <w:t>Commission File Number 001-41556</w:t>
            </w:r>
          </w:p>
        </w:tc>
        <w:tc>
          <w:tcPr>
            <w:tcW w:w="3620" w:type="dxa"/>
            <w:vAlign w:val="bottom"/>
          </w:tcPr>
          <w:p>
            <w:pPr>
              <w:spacing w:after="0"/>
              <w:rPr>
                <w:sz w:val="17"/>
                <w:szCs w:val="17"/>
                <w:color w:val="auto"/>
              </w:rPr>
            </w:pPr>
          </w:p>
        </w:tc>
      </w:tr>
      <w:tr>
        <w:trPr>
          <w:trHeight w:val="193"/>
        </w:trPr>
        <w:tc>
          <w:tcPr>
            <w:tcW w:w="76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r>
      <w:tr>
        <w:trPr>
          <w:trHeight w:val="487"/>
        </w:trPr>
        <w:tc>
          <w:tcPr>
            <w:tcW w:w="7640" w:type="dxa"/>
            <w:vAlign w:val="bottom"/>
          </w:tcPr>
          <w:p>
            <w:pPr>
              <w:jc w:val="center"/>
              <w:ind w:left="3515"/>
              <w:spacing w:after="0"/>
              <w:rPr>
                <w:sz w:val="20"/>
                <w:szCs w:val="20"/>
                <w:color w:val="auto"/>
              </w:rPr>
            </w:pPr>
            <w:r>
              <w:rPr>
                <w:rFonts w:ascii="Times New Roman" w:cs="Times New Roman" w:eastAsia="Times New Roman" w:hAnsi="Times New Roman"/>
                <w:sz w:val="28"/>
                <w:szCs w:val="28"/>
                <w:b w:val="1"/>
                <w:bCs w:val="1"/>
                <w:color w:val="auto"/>
              </w:rPr>
              <w:t>SNAIL, INC.</w:t>
            </w:r>
          </w:p>
        </w:tc>
        <w:tc>
          <w:tcPr>
            <w:tcW w:w="3620" w:type="dxa"/>
            <w:vAlign w:val="bottom"/>
          </w:tcPr>
          <w:p>
            <w:pPr>
              <w:spacing w:after="0"/>
              <w:rPr>
                <w:sz w:val="24"/>
                <w:szCs w:val="24"/>
                <w:color w:val="auto"/>
              </w:rPr>
            </w:pPr>
          </w:p>
        </w:tc>
      </w:tr>
      <w:tr>
        <w:trPr>
          <w:trHeight w:val="206"/>
        </w:trPr>
        <w:tc>
          <w:tcPr>
            <w:tcW w:w="7640" w:type="dxa"/>
            <w:vAlign w:val="bottom"/>
          </w:tcPr>
          <w:p>
            <w:pPr>
              <w:jc w:val="center"/>
              <w:ind w:left="3515"/>
              <w:spacing w:after="0"/>
              <w:rPr>
                <w:sz w:val="20"/>
                <w:szCs w:val="20"/>
                <w:color w:val="auto"/>
              </w:rPr>
            </w:pPr>
            <w:r>
              <w:rPr>
                <w:rFonts w:ascii="Times New Roman" w:cs="Times New Roman" w:eastAsia="Times New Roman" w:hAnsi="Times New Roman"/>
                <w:sz w:val="16"/>
                <w:szCs w:val="16"/>
                <w:b w:val="1"/>
                <w:bCs w:val="1"/>
                <w:color w:val="auto"/>
                <w:w w:val="98"/>
              </w:rPr>
              <w:t>(Exact name of Registrant as specified in its Charter)</w:t>
            </w:r>
          </w:p>
        </w:tc>
        <w:tc>
          <w:tcPr>
            <w:tcW w:w="3620" w:type="dxa"/>
            <w:vAlign w:val="bottom"/>
          </w:tcPr>
          <w:p>
            <w:pPr>
              <w:spacing w:after="0"/>
              <w:rPr>
                <w:sz w:val="17"/>
                <w:szCs w:val="17"/>
                <w:color w:val="auto"/>
              </w:rPr>
            </w:pPr>
          </w:p>
        </w:tc>
      </w:tr>
      <w:tr>
        <w:trPr>
          <w:trHeight w:val="193"/>
        </w:trPr>
        <w:tc>
          <w:tcPr>
            <w:tcW w:w="76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r>
      <w:tr>
        <w:trPr>
          <w:trHeight w:val="358"/>
        </w:trPr>
        <w:tc>
          <w:tcPr>
            <w:tcW w:w="7640" w:type="dxa"/>
            <w:vAlign w:val="bottom"/>
          </w:tcPr>
          <w:p>
            <w:pPr>
              <w:jc w:val="center"/>
              <w:ind w:right="203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20" w:type="dxa"/>
            <w:vAlign w:val="bottom"/>
          </w:tcPr>
          <w:p>
            <w:pPr>
              <w:jc w:val="right"/>
              <w:ind w:right="2302"/>
              <w:spacing w:after="0"/>
              <w:rPr>
                <w:sz w:val="20"/>
                <w:szCs w:val="20"/>
                <w:color w:val="auto"/>
              </w:rPr>
            </w:pPr>
            <w:r>
              <w:rPr>
                <w:rFonts w:ascii="Times New Roman" w:cs="Times New Roman" w:eastAsia="Times New Roman" w:hAnsi="Times New Roman"/>
                <w:sz w:val="16"/>
                <w:szCs w:val="16"/>
                <w:b w:val="1"/>
                <w:bCs w:val="1"/>
                <w:color w:val="auto"/>
              </w:rPr>
              <w:t>88-4146991</w:t>
            </w:r>
          </w:p>
        </w:tc>
      </w:tr>
      <w:tr>
        <w:trPr>
          <w:trHeight w:val="188"/>
        </w:trPr>
        <w:tc>
          <w:tcPr>
            <w:tcW w:w="7640" w:type="dxa"/>
            <w:vAlign w:val="bottom"/>
          </w:tcPr>
          <w:p>
            <w:pPr>
              <w:jc w:val="center"/>
              <w:ind w:right="2035"/>
              <w:spacing w:after="0"/>
              <w:rPr>
                <w:sz w:val="20"/>
                <w:szCs w:val="20"/>
                <w:color w:val="auto"/>
              </w:rPr>
            </w:pPr>
            <w:r>
              <w:rPr>
                <w:rFonts w:ascii="Times New Roman" w:cs="Times New Roman" w:eastAsia="Times New Roman" w:hAnsi="Times New Roman"/>
                <w:sz w:val="16"/>
                <w:szCs w:val="16"/>
                <w:b w:val="1"/>
                <w:bCs w:val="1"/>
                <w:color w:val="auto"/>
                <w:w w:val="97"/>
              </w:rPr>
              <w:t>(State or other jurisdiction of</w:t>
            </w:r>
          </w:p>
        </w:tc>
        <w:tc>
          <w:tcPr>
            <w:tcW w:w="3620" w:type="dxa"/>
            <w:vAlign w:val="bottom"/>
          </w:tcPr>
          <w:p>
            <w:pPr>
              <w:jc w:val="center"/>
              <w:ind w:right="1822"/>
              <w:spacing w:after="0"/>
              <w:rPr>
                <w:sz w:val="20"/>
                <w:szCs w:val="20"/>
                <w:color w:val="auto"/>
              </w:rPr>
            </w:pPr>
            <w:r>
              <w:rPr>
                <w:rFonts w:ascii="Times New Roman" w:cs="Times New Roman" w:eastAsia="Times New Roman" w:hAnsi="Times New Roman"/>
                <w:sz w:val="16"/>
                <w:szCs w:val="16"/>
                <w:b w:val="1"/>
                <w:bCs w:val="1"/>
                <w:color w:val="auto"/>
                <w:w w:val="96"/>
              </w:rPr>
              <w:t>(I.R.S. Employer</w:t>
            </w:r>
          </w:p>
        </w:tc>
      </w:tr>
      <w:tr>
        <w:trPr>
          <w:trHeight w:val="206"/>
        </w:trPr>
        <w:tc>
          <w:tcPr>
            <w:tcW w:w="7640" w:type="dxa"/>
            <w:vAlign w:val="bottom"/>
          </w:tcPr>
          <w:p>
            <w:pPr>
              <w:jc w:val="center"/>
              <w:ind w:right="2035"/>
              <w:spacing w:after="0"/>
              <w:rPr>
                <w:sz w:val="20"/>
                <w:szCs w:val="20"/>
                <w:color w:val="auto"/>
              </w:rPr>
            </w:pPr>
            <w:r>
              <w:rPr>
                <w:rFonts w:ascii="Times New Roman" w:cs="Times New Roman" w:eastAsia="Times New Roman" w:hAnsi="Times New Roman"/>
                <w:sz w:val="16"/>
                <w:szCs w:val="16"/>
                <w:b w:val="1"/>
                <w:bCs w:val="1"/>
                <w:color w:val="auto"/>
                <w:w w:val="97"/>
              </w:rPr>
              <w:t>incorporation or organization)</w:t>
            </w:r>
          </w:p>
        </w:tc>
        <w:tc>
          <w:tcPr>
            <w:tcW w:w="3620" w:type="dxa"/>
            <w:vAlign w:val="bottom"/>
          </w:tcPr>
          <w:p>
            <w:pPr>
              <w:jc w:val="center"/>
              <w:ind w:right="1822"/>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359"/>
        </w:trPr>
        <w:tc>
          <w:tcPr>
            <w:tcW w:w="7640" w:type="dxa"/>
            <w:vAlign w:val="bottom"/>
          </w:tcPr>
          <w:p>
            <w:pPr>
              <w:jc w:val="center"/>
              <w:ind w:right="2035"/>
              <w:spacing w:after="0"/>
              <w:rPr>
                <w:sz w:val="20"/>
                <w:szCs w:val="20"/>
                <w:color w:val="auto"/>
              </w:rPr>
            </w:pPr>
            <w:r>
              <w:rPr>
                <w:rFonts w:ascii="Times New Roman" w:cs="Times New Roman" w:eastAsia="Times New Roman" w:hAnsi="Times New Roman"/>
                <w:sz w:val="16"/>
                <w:szCs w:val="16"/>
                <w:b w:val="1"/>
                <w:bCs w:val="1"/>
                <w:color w:val="auto"/>
                <w:w w:val="97"/>
              </w:rPr>
              <w:t>12049 Jefferson Blvd</w:t>
            </w:r>
          </w:p>
        </w:tc>
        <w:tc>
          <w:tcPr>
            <w:tcW w:w="3620" w:type="dxa"/>
            <w:vAlign w:val="bottom"/>
          </w:tcPr>
          <w:p>
            <w:pPr>
              <w:spacing w:after="0"/>
              <w:rPr>
                <w:sz w:val="24"/>
                <w:szCs w:val="24"/>
                <w:color w:val="auto"/>
              </w:rPr>
            </w:pPr>
          </w:p>
        </w:tc>
      </w:tr>
      <w:tr>
        <w:trPr>
          <w:trHeight w:val="188"/>
        </w:trPr>
        <w:tc>
          <w:tcPr>
            <w:tcW w:w="7640" w:type="dxa"/>
            <w:vAlign w:val="bottom"/>
          </w:tcPr>
          <w:p>
            <w:pPr>
              <w:jc w:val="center"/>
              <w:ind w:right="2035"/>
              <w:spacing w:after="0"/>
              <w:rPr>
                <w:sz w:val="20"/>
                <w:szCs w:val="20"/>
                <w:color w:val="auto"/>
              </w:rPr>
            </w:pPr>
            <w:r>
              <w:rPr>
                <w:rFonts w:ascii="Times New Roman" w:cs="Times New Roman" w:eastAsia="Times New Roman" w:hAnsi="Times New Roman"/>
                <w:sz w:val="16"/>
                <w:szCs w:val="16"/>
                <w:b w:val="1"/>
                <w:bCs w:val="1"/>
                <w:color w:val="auto"/>
                <w:w w:val="96"/>
              </w:rPr>
              <w:t>Culver City, CA</w:t>
            </w:r>
          </w:p>
        </w:tc>
        <w:tc>
          <w:tcPr>
            <w:tcW w:w="3620" w:type="dxa"/>
            <w:vAlign w:val="bottom"/>
          </w:tcPr>
          <w:p>
            <w:pPr>
              <w:jc w:val="right"/>
              <w:ind w:right="2482"/>
              <w:spacing w:after="0"/>
              <w:rPr>
                <w:sz w:val="20"/>
                <w:szCs w:val="20"/>
                <w:color w:val="auto"/>
              </w:rPr>
            </w:pPr>
            <w:r>
              <w:rPr>
                <w:rFonts w:ascii="Times New Roman" w:cs="Times New Roman" w:eastAsia="Times New Roman" w:hAnsi="Times New Roman"/>
                <w:sz w:val="16"/>
                <w:szCs w:val="16"/>
                <w:b w:val="1"/>
                <w:bCs w:val="1"/>
                <w:color w:val="auto"/>
              </w:rPr>
              <w:t>90230</w:t>
            </w:r>
          </w:p>
        </w:tc>
      </w:tr>
      <w:tr>
        <w:trPr>
          <w:trHeight w:val="206"/>
        </w:trPr>
        <w:tc>
          <w:tcPr>
            <w:tcW w:w="7640" w:type="dxa"/>
            <w:vAlign w:val="bottom"/>
          </w:tcPr>
          <w:p>
            <w:pPr>
              <w:jc w:val="center"/>
              <w:ind w:right="2035"/>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3620" w:type="dxa"/>
            <w:vAlign w:val="bottom"/>
          </w:tcPr>
          <w:p>
            <w:pPr>
              <w:jc w:val="center"/>
              <w:ind w:right="1822"/>
              <w:spacing w:after="0"/>
              <w:rPr>
                <w:sz w:val="20"/>
                <w:szCs w:val="20"/>
                <w:color w:val="auto"/>
              </w:rPr>
            </w:pPr>
            <w:r>
              <w:rPr>
                <w:rFonts w:ascii="Times New Roman" w:cs="Times New Roman" w:eastAsia="Times New Roman" w:hAnsi="Times New Roman"/>
                <w:sz w:val="16"/>
                <w:szCs w:val="16"/>
                <w:b w:val="1"/>
                <w:bCs w:val="1"/>
                <w:color w:val="auto"/>
                <w:w w:val="97"/>
              </w:rPr>
              <w:t>(Zip code)</w:t>
            </w:r>
          </w:p>
        </w:tc>
      </w:tr>
    </w:tbl>
    <w:p>
      <w:pPr>
        <w:spacing w:after="0" w:line="17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+1 (310) 988-0643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15010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86" w:lineRule="exact"/>
        <w:rPr>
          <w:sz w:val="24"/>
          <w:szCs w:val="24"/>
          <w:color w:val="auto"/>
        </w:rPr>
      </w:pPr>
    </w:p>
    <w:tbl>
      <w:tblPr>
        <w:tblLayout w:type="fixed"/>
        <w:tblInd w:w="6" w:type="dxa"/>
        <w:tblCellMar>
          <w:top w:w="0" w:type="dxa"/>
          <w:left w:w="0" w:type="dxa"/>
          <w:bottom w:w="0" w:type="dxa"/>
          <w:right w:w="0" w:type="dxa"/>
        </w:tblCellMar>
      </w:tblPr>
      <w:tr>
        <w:trPr>
          <w:trHeight w:val="204"/>
        </w:trPr>
        <w:tc>
          <w:tcPr>
            <w:tcW w:w="4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40" w:type="dxa"/>
            <w:vAlign w:val="bottom"/>
          </w:tcPr>
          <w:p>
            <w:pPr>
              <w:spacing w:after="0"/>
              <w:rPr>
                <w:sz w:val="17"/>
                <w:szCs w:val="17"/>
                <w:color w:val="auto"/>
              </w:rPr>
            </w:pPr>
          </w:p>
        </w:tc>
      </w:tr>
      <w:tr>
        <w:trPr>
          <w:trHeight w:val="392"/>
        </w:trPr>
        <w:tc>
          <w:tcPr>
            <w:tcW w:w="20" w:type="dxa"/>
            <w:vAlign w:val="bottom"/>
          </w:tcPr>
          <w:p>
            <w:pPr>
              <w:spacing w:after="0"/>
              <w:rPr>
                <w:sz w:val="24"/>
                <w:szCs w:val="24"/>
                <w:color w:val="auto"/>
              </w:rPr>
            </w:pPr>
          </w:p>
        </w:tc>
        <w:tc>
          <w:tcPr>
            <w:tcW w:w="4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Trading Symbol (s)</w:t>
            </w:r>
          </w:p>
        </w:tc>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Name of each exchange on which registered</w:t>
            </w:r>
          </w:p>
        </w:tc>
      </w:tr>
      <w:tr>
        <w:trPr>
          <w:trHeight w:val="204"/>
        </w:trPr>
        <w:tc>
          <w:tcPr>
            <w:tcW w:w="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Class A common stock, par value $0.0001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SNAL</w:t>
            </w:r>
          </w:p>
        </w:tc>
        <w:tc>
          <w:tcPr>
            <w:tcW w:w="240" w:type="dxa"/>
            <w:vAlign w:val="bottom"/>
          </w:tcPr>
          <w:p>
            <w:pPr>
              <w:spacing w:after="0"/>
              <w:rPr>
                <w:sz w:val="17"/>
                <w:szCs w:val="17"/>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r>
        <w:trPr>
          <w:trHeight w:val="360"/>
        </w:trPr>
        <w:tc>
          <w:tcPr>
            <w:tcW w:w="4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139" w:lineRule="exact"/>
        <w:rPr>
          <w:sz w:val="24"/>
          <w:szCs w:val="24"/>
          <w:color w:val="auto"/>
        </w:rPr>
      </w:pPr>
    </w:p>
    <w:p>
      <w:pPr>
        <w:ind w:left="6"/>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2" w:lineRule="exact"/>
        <w:rPr>
          <w:sz w:val="24"/>
          <w:szCs w:val="24"/>
          <w:color w:val="auto"/>
        </w:rPr>
      </w:pPr>
    </w:p>
    <w:p>
      <w:pPr>
        <w:ind w:left="6"/>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6" w:lineRule="exact"/>
        <w:rPr>
          <w:sz w:val="24"/>
          <w:szCs w:val="24"/>
          <w:color w:val="auto"/>
        </w:rPr>
      </w:pPr>
    </w:p>
    <w:p>
      <w:pPr>
        <w:jc w:val="both"/>
        <w:ind w:left="6"/>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7" w:lineRule="exact"/>
        <w:rPr>
          <w:sz w:val="24"/>
          <w:szCs w:val="24"/>
          <w:color w:val="auto"/>
        </w:rPr>
      </w:pPr>
    </w:p>
    <w:p>
      <w:pPr>
        <w:jc w:val="both"/>
        <w:ind w:left="6"/>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7" w:lineRule="exact"/>
        <w:rPr>
          <w:sz w:val="24"/>
          <w:szCs w:val="24"/>
          <w:color w:val="auto"/>
        </w:rPr>
      </w:pPr>
    </w:p>
    <w:p>
      <w:pPr>
        <w:ind w:left="6"/>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line="31"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6" w:type="dxa"/>
        <w:tblCellMar>
          <w:top w:w="0" w:type="dxa"/>
          <w:left w:w="0" w:type="dxa"/>
          <w:bottom w:w="0" w:type="dxa"/>
          <w:right w:w="0" w:type="dxa"/>
        </w:tblCellMar>
      </w:tblPr>
      <w:tr>
        <w:trPr>
          <w:trHeight w:val="19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4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Accelerated filer</w:t>
            </w:r>
          </w:p>
        </w:tc>
        <w:tc>
          <w:tcPr>
            <w:tcW w:w="186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8"/>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4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6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04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spacing w:after="0"/>
              <w:rPr>
                <w:sz w:val="22"/>
                <w:szCs w:val="22"/>
                <w:color w:val="auto"/>
              </w:rPr>
            </w:pPr>
          </w:p>
        </w:tc>
        <w:tc>
          <w:tcPr>
            <w:tcW w:w="1860" w:type="dxa"/>
            <w:vAlign w:val="bottom"/>
          </w:tcPr>
          <w:p>
            <w:pPr>
              <w:spacing w:after="0"/>
              <w:rPr>
                <w:sz w:val="22"/>
                <w:szCs w:val="22"/>
                <w:color w:val="auto"/>
              </w:rPr>
            </w:pPr>
          </w:p>
        </w:tc>
      </w:tr>
    </w:tbl>
    <w:p>
      <w:pPr>
        <w:spacing w:after="0" w:line="143" w:lineRule="exact"/>
        <w:rPr>
          <w:sz w:val="24"/>
          <w:szCs w:val="24"/>
          <w:color w:val="auto"/>
        </w:rPr>
      </w:pPr>
    </w:p>
    <w:p>
      <w:pPr>
        <w:jc w:val="both"/>
        <w:ind w:left="6" w:right="2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jc w:val="both"/>
        <w:ind w:left="6"/>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47" w:lineRule="exact"/>
        <w:rPr>
          <w:sz w:val="24"/>
          <w:szCs w:val="24"/>
          <w:color w:val="auto"/>
        </w:rPr>
      </w:pPr>
    </w:p>
    <w:p>
      <w:pPr>
        <w:jc w:val="both"/>
        <w:ind w:left="6"/>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47" w:lineRule="exact"/>
        <w:rPr>
          <w:sz w:val="24"/>
          <w:szCs w:val="24"/>
          <w:color w:val="auto"/>
        </w:rPr>
      </w:pPr>
    </w:p>
    <w:p>
      <w:pPr>
        <w:jc w:val="both"/>
        <w:ind w:left="6"/>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13" w:lineRule="exact"/>
        <w:rPr>
          <w:sz w:val="24"/>
          <w:szCs w:val="24"/>
          <w:color w:val="auto"/>
        </w:rPr>
      </w:pPr>
    </w:p>
    <w:p>
      <w:pPr>
        <w:ind w:left="6"/>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6" w:lineRule="exact"/>
        <w:rPr>
          <w:sz w:val="24"/>
          <w:szCs w:val="24"/>
          <w:color w:val="auto"/>
        </w:rPr>
      </w:pPr>
    </w:p>
    <w:p>
      <w:pPr>
        <w:jc w:val="both"/>
        <w:ind w:left="6"/>
        <w:spacing w:after="0" w:line="258" w:lineRule="auto"/>
        <w:rPr>
          <w:sz w:val="20"/>
          <w:szCs w:val="20"/>
          <w:color w:val="auto"/>
        </w:rPr>
      </w:pPr>
      <w:r>
        <w:rPr>
          <w:rFonts w:ascii="Times New Roman" w:cs="Times New Roman" w:eastAsia="Times New Roman" w:hAnsi="Times New Roman"/>
          <w:sz w:val="16"/>
          <w:szCs w:val="16"/>
          <w:color w:val="auto"/>
        </w:rPr>
        <w:t>As of June 30, 2023, the last business day of the Registrant’s most recently completed second quarter, there was no public market for the Registrant’s class B common stock. The aggregate market value of voting and non-voting common equity held by non-affiliates of the Registrant, based on the closing price of the Registrant’s Class A common stock on the Nasdaq Capital Market on June 30, 2023, was $12,562,821.</w:t>
      </w:r>
    </w:p>
    <w:p>
      <w:pPr>
        <w:spacing w:after="0" w:line="159"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registrant’s classes of common stock, as of the latest practicable date.</w:t>
      </w:r>
    </w:p>
    <w:p>
      <w:pPr>
        <w:sectPr>
          <w:pgSz w:w="11900" w:h="16838" w:orient="portrait"/>
          <w:cols w:equalWidth="0" w:num="1">
            <w:col w:w="11266"/>
          </w:cols>
          <w:pgMar w:left="314" w:top="661" w:right="319" w:bottom="0" w:gutter="0" w:footer="0" w:header="0"/>
        </w:sectPr>
      </w:pPr>
    </w:p>
    <w:bookmarkStart w:id="1" w:name="page2"/>
    <w:bookmarkEnd w:id="1"/>
    <w:p>
      <w:pPr>
        <w:ind w:left="1960"/>
        <w:spacing w:after="0"/>
        <w:rPr>
          <w:sz w:val="20"/>
          <w:szCs w:val="20"/>
          <w:color w:val="auto"/>
        </w:rPr>
      </w:pPr>
      <w:r>
        <w:rPr>
          <w:rFonts w:ascii="Times New Roman" w:cs="Times New Roman" w:eastAsia="Times New Roman" w:hAnsi="Times New Roman"/>
          <w:sz w:val="16"/>
          <w:szCs w:val="16"/>
          <w:b w:val="1"/>
          <w:bCs w:val="1"/>
          <w:color w:val="auto"/>
        </w:rPr>
        <w:t>Class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350774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5240"/>
                    </a:xfrm>
                    <a:prstGeom prst="rect">
                      <a:avLst/>
                    </a:prstGeom>
                    <a:noFill/>
                  </pic:spPr>
                </pic:pic>
              </a:graphicData>
            </a:graphic>
          </wp:anchor>
        </w:drawing>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b w:val="1"/>
          <w:bCs w:val="1"/>
          <w:color w:val="auto"/>
        </w:rPr>
        <w:t>Class A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350774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07740" cy="15240"/>
                    </a:xfrm>
                    <a:prstGeom prst="rect">
                      <a:avLst/>
                    </a:prstGeom>
                    <a:noFill/>
                  </pic:spPr>
                </pic:pic>
              </a:graphicData>
            </a:graphic>
          </wp:anchor>
        </w:drawing>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b w:val="1"/>
          <w:bCs w:val="1"/>
          <w:color w:val="auto"/>
        </w:rPr>
        <w:t>Class B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350774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0774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Outstanding Shares as of March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29210</wp:posOffset>
            </wp:positionV>
            <wp:extent cx="350012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00120" cy="15240"/>
                    </a:xfrm>
                    <a:prstGeom prst="rect">
                      <a:avLst/>
                    </a:prstGeom>
                    <a:noFill/>
                  </pic:spPr>
                </pic:pic>
              </a:graphicData>
            </a:graphic>
          </wp:anchor>
        </w:drawing>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b w:val="1"/>
          <w:bCs w:val="1"/>
          <w:color w:val="auto"/>
        </w:rPr>
        <w:t>8,007,474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14605</wp:posOffset>
            </wp:positionV>
            <wp:extent cx="350012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00120" cy="15240"/>
                    </a:xfrm>
                    <a:prstGeom prst="rect">
                      <a:avLst/>
                    </a:prstGeom>
                    <a:noFill/>
                  </pic:spPr>
                </pic:pic>
              </a:graphicData>
            </a:graphic>
          </wp:anchor>
        </w:drawing>
      </w:r>
    </w:p>
    <w:p>
      <w:pPr>
        <w:spacing w:after="0" w:line="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28,748,580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14605</wp:posOffset>
            </wp:positionV>
            <wp:extent cx="350012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0012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0" w:space="720"/>
            <w:col w:w="4140"/>
          </w:cols>
          <w:pgMar w:left="320" w:top="121" w:right="319" w:bottom="1440" w:gutter="0" w:footer="0" w:header="0"/>
        </w:sectPr>
      </w:pP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Part III of this Annual Report on Form 10-K incorporates certain information by reference from the definitive proxy statement for the Registrant’s 2024 Annual Meeting of Stockholders to be filed within 120 days of the Registrant’s fiscal year ended December 31, 2023 (the “Proxy Statement”).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15010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15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15010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37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715010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80" w:type="dxa"/>
            <w:vAlign w:val="bottom"/>
            <w:gridSpan w:val="9"/>
          </w:tcPr>
          <w:p>
            <w:pPr>
              <w:jc w:val="center"/>
              <w:ind w:right="3840"/>
              <w:spacing w:after="0"/>
              <w:rPr>
                <w:sz w:val="20"/>
                <w:szCs w:val="20"/>
                <w:color w:val="auto"/>
              </w:rPr>
            </w:pPr>
            <w:r>
              <w:rPr>
                <w:rFonts w:ascii="Times New Roman" w:cs="Times New Roman" w:eastAsia="Times New Roman" w:hAnsi="Times New Roman"/>
                <w:sz w:val="16"/>
                <w:szCs w:val="16"/>
                <w:b w:val="1"/>
                <w:bCs w:val="1"/>
                <w:color w:val="auto"/>
                <w:w w:val="97"/>
              </w:rPr>
              <w:t>SNAIL, INC. AND SUBSIDIARIES</w:t>
            </w:r>
          </w:p>
        </w:tc>
        <w:tc>
          <w:tcPr>
            <w:tcW w:w="58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60" w:type="dxa"/>
            <w:vAlign w:val="bottom"/>
            <w:gridSpan w:val="6"/>
          </w:tcPr>
          <w:p>
            <w:pPr>
              <w:jc w:val="center"/>
              <w:ind w:right="4640"/>
              <w:spacing w:after="0"/>
              <w:rPr>
                <w:sz w:val="20"/>
                <w:szCs w:val="20"/>
                <w:color w:val="auto"/>
              </w:rPr>
            </w:pPr>
            <w:r>
              <w:rPr>
                <w:rFonts w:ascii="Times New Roman" w:cs="Times New Roman" w:eastAsia="Times New Roman" w:hAnsi="Times New Roman"/>
                <w:sz w:val="16"/>
                <w:szCs w:val="16"/>
                <w:b w:val="1"/>
                <w:bCs w:val="1"/>
                <w:color w:val="auto"/>
                <w:w w:val="97"/>
              </w:rPr>
              <w:t>Form 10-K</w:t>
            </w:r>
          </w:p>
        </w:tc>
        <w:tc>
          <w:tcPr>
            <w:tcW w:w="58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40" w:type="dxa"/>
            <w:vAlign w:val="bottom"/>
            <w:gridSpan w:val="10"/>
          </w:tcPr>
          <w:p>
            <w:pPr>
              <w:jc w:val="center"/>
              <w:ind w:right="3160"/>
              <w:spacing w:after="0"/>
              <w:rPr>
                <w:sz w:val="20"/>
                <w:szCs w:val="20"/>
                <w:color w:val="auto"/>
              </w:rPr>
            </w:pPr>
            <w:r>
              <w:rPr>
                <w:rFonts w:ascii="Times New Roman" w:cs="Times New Roman" w:eastAsia="Times New Roman" w:hAnsi="Times New Roman"/>
                <w:sz w:val="16"/>
                <w:szCs w:val="16"/>
                <w:b w:val="1"/>
                <w:bCs w:val="1"/>
                <w:color w:val="auto"/>
                <w:w w:val="97"/>
              </w:rPr>
              <w:t>For the Year Ended December 31, 2023</w:t>
            </w:r>
          </w:p>
        </w:tc>
        <w:tc>
          <w:tcPr>
            <w:tcW w:w="580" w:type="dxa"/>
            <w:vAlign w:val="bottom"/>
          </w:tcPr>
          <w:p>
            <w:pPr>
              <w:spacing w:after="0"/>
              <w:rPr>
                <w:sz w:val="17"/>
                <w:szCs w:val="17"/>
                <w:color w:val="auto"/>
              </w:rPr>
            </w:pPr>
          </w:p>
        </w:tc>
      </w:tr>
      <w:tr>
        <w:trPr>
          <w:trHeight w:val="37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40" w:type="dxa"/>
            <w:vAlign w:val="bottom"/>
            <w:gridSpan w:val="7"/>
          </w:tcPr>
          <w:p>
            <w:pPr>
              <w:jc w:val="center"/>
              <w:ind w:right="4060"/>
              <w:spacing w:after="0"/>
              <w:rPr>
                <w:sz w:val="20"/>
                <w:szCs w:val="20"/>
                <w:color w:val="auto"/>
              </w:rPr>
            </w:pPr>
            <w:r>
              <w:rPr>
                <w:rFonts w:ascii="Times New Roman" w:cs="Times New Roman" w:eastAsia="Times New Roman" w:hAnsi="Times New Roman"/>
                <w:sz w:val="16"/>
                <w:szCs w:val="16"/>
                <w:b w:val="1"/>
                <w:bCs w:val="1"/>
                <w:color w:val="auto"/>
                <w:w w:val="96"/>
              </w:rPr>
              <w:t>Table of Contents</w:t>
            </w:r>
          </w:p>
        </w:tc>
        <w:tc>
          <w:tcPr>
            <w:tcW w:w="5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8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68"/>
        </w:trPr>
        <w:tc>
          <w:tcPr>
            <w:tcW w:w="20" w:type="dxa"/>
            <w:vAlign w:val="bottom"/>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23"/>
            <w:shd w:val="clear" w:color="auto" w:fill="CCEEFF"/>
          </w:tcPr>
          <w:p>
            <w:pPr>
              <w:ind w:left="80"/>
              <w:spacing w:after="0" w:line="141" w:lineRule="exact"/>
              <w:rPr>
                <w:sz w:val="20"/>
                <w:szCs w:val="20"/>
                <w:color w:val="auto"/>
              </w:rPr>
            </w:pPr>
            <w:r>
              <w:rPr>
                <w:rFonts w:ascii="Times New Roman" w:cs="Times New Roman" w:eastAsia="Times New Roman" w:hAnsi="Times New Roman"/>
                <w:sz w:val="16"/>
                <w:szCs w:val="16"/>
                <w:color w:val="0000EE"/>
              </w:rPr>
              <w:t>Cautionary Statement</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6"/>
                <w:szCs w:val="16"/>
                <w:color w:val="auto"/>
              </w:rPr>
              <w:t>ii</w:t>
            </w:r>
          </w:p>
        </w:tc>
      </w:tr>
      <w:tr>
        <w:trPr>
          <w:trHeight w:val="153"/>
        </w:trPr>
        <w:tc>
          <w:tcPr>
            <w:tcW w:w="20" w:type="dxa"/>
            <w:vAlign w:val="bottom"/>
          </w:tcPr>
          <w:p>
            <w:pPr>
              <w:spacing w:after="0"/>
              <w:rPr>
                <w:sz w:val="13"/>
                <w:szCs w:val="13"/>
                <w:color w:val="auto"/>
              </w:rPr>
            </w:pPr>
          </w:p>
        </w:tc>
        <w:tc>
          <w:tcPr>
            <w:tcW w:w="740" w:type="dxa"/>
            <w:vAlign w:val="bottom"/>
            <w:tcBorders>
              <w:top w:val="single" w:sz="8" w:color="CCEEFF"/>
            </w:tcBorders>
            <w:gridSpan w:val="5"/>
          </w:tcPr>
          <w:p>
            <w:pPr>
              <w:spacing w:after="0" w:line="153" w:lineRule="exact"/>
              <w:rPr>
                <w:sz w:val="20"/>
                <w:szCs w:val="20"/>
                <w:color w:val="auto"/>
              </w:rPr>
            </w:pPr>
            <w:r>
              <w:rPr>
                <w:rFonts w:ascii="Times New Roman" w:cs="Times New Roman" w:eastAsia="Times New Roman" w:hAnsi="Times New Roman"/>
                <w:sz w:val="16"/>
                <w:szCs w:val="16"/>
                <w:b w:val="1"/>
                <w:bCs w:val="1"/>
                <w:color w:val="0000EE"/>
              </w:rPr>
              <w:t>PART I.</w:t>
            </w:r>
          </w:p>
        </w:tc>
        <w:tc>
          <w:tcPr>
            <w:tcW w:w="80" w:type="dxa"/>
            <w:vAlign w:val="bottom"/>
            <w:tcBorders>
              <w:top w:val="single" w:sz="8" w:color="CCEEFF"/>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282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1.</w:t>
            </w:r>
          </w:p>
        </w:tc>
        <w:tc>
          <w:tcPr>
            <w:tcW w:w="220" w:type="dxa"/>
            <w:vAlign w:val="bottom"/>
            <w:tcBorders>
              <w:bottom w:val="single" w:sz="8" w:color="CCEEFF"/>
            </w:tcBorders>
            <w:gridSpan w:val="4"/>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0000EE"/>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4"/>
              </w:rPr>
              <w:t>Business</w:t>
            </w:r>
          </w:p>
        </w:tc>
        <w:tc>
          <w:tcPr>
            <w:tcW w:w="9280" w:type="dxa"/>
            <w:vAlign w:val="bottom"/>
            <w:tcBorders>
              <w:bottom w:val="single" w:sz="8" w:color="CCEEFF"/>
            </w:tcBorders>
            <w:gridSpan w:val="21"/>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w:t>
            </w:r>
          </w:p>
        </w:tc>
      </w:tr>
      <w:tr>
        <w:trPr>
          <w:trHeight w:val="153"/>
        </w:trPr>
        <w:tc>
          <w:tcPr>
            <w:tcW w:w="20" w:type="dxa"/>
            <w:vAlign w:val="bottom"/>
          </w:tcPr>
          <w:p>
            <w:pPr>
              <w:spacing w:after="0"/>
              <w:rPr>
                <w:sz w:val="13"/>
                <w:szCs w:val="13"/>
                <w:color w:val="auto"/>
              </w:rPr>
            </w:pPr>
          </w:p>
        </w:tc>
        <w:tc>
          <w:tcPr>
            <w:tcW w:w="740" w:type="dxa"/>
            <w:vAlign w:val="bottom"/>
            <w:gridSpan w:val="5"/>
          </w:tcPr>
          <w:p>
            <w:pPr>
              <w:spacing w:after="0" w:line="153" w:lineRule="exact"/>
              <w:rPr>
                <w:sz w:val="20"/>
                <w:szCs w:val="20"/>
                <w:color w:val="auto"/>
              </w:rPr>
            </w:pPr>
            <w:r>
              <w:rPr>
                <w:rFonts w:ascii="Times New Roman" w:cs="Times New Roman" w:eastAsia="Times New Roman" w:hAnsi="Times New Roman"/>
                <w:sz w:val="16"/>
                <w:szCs w:val="16"/>
                <w:color w:val="auto"/>
              </w:rPr>
              <w:t>Item 1A.</w:t>
            </w:r>
          </w:p>
        </w:tc>
        <w:tc>
          <w:tcPr>
            <w:tcW w:w="80" w:type="dxa"/>
            <w:vAlign w:val="bottom"/>
          </w:tcPr>
          <w:p>
            <w:pPr>
              <w:spacing w:after="0"/>
              <w:rPr>
                <w:sz w:val="13"/>
                <w:szCs w:val="13"/>
                <w:color w:val="auto"/>
              </w:rPr>
            </w:pPr>
          </w:p>
        </w:tc>
        <w:tc>
          <w:tcPr>
            <w:tcW w:w="9840" w:type="dxa"/>
            <w:vAlign w:val="bottom"/>
            <w:gridSpan w:val="22"/>
          </w:tcPr>
          <w:p>
            <w:pPr>
              <w:spacing w:after="0" w:line="153" w:lineRule="exact"/>
              <w:rPr>
                <w:sz w:val="20"/>
                <w:szCs w:val="20"/>
                <w:color w:val="auto"/>
              </w:rPr>
            </w:pPr>
            <w:r>
              <w:rPr>
                <w:rFonts w:ascii="Times New Roman" w:cs="Times New Roman" w:eastAsia="Times New Roman" w:hAnsi="Times New Roman"/>
                <w:sz w:val="16"/>
                <w:szCs w:val="16"/>
                <w:color w:val="0000EE"/>
              </w:rPr>
              <w:t>Risk Factors</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10</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1B.</w:t>
            </w:r>
          </w:p>
        </w:tc>
        <w:tc>
          <w:tcPr>
            <w:tcW w:w="80" w:type="dxa"/>
            <w:vAlign w:val="bottom"/>
            <w:shd w:val="clear" w:color="auto" w:fill="CCEEFF"/>
          </w:tcPr>
          <w:p>
            <w:pPr>
              <w:spacing w:after="0"/>
              <w:rPr>
                <w:sz w:val="14"/>
                <w:szCs w:val="14"/>
                <w:color w:val="auto"/>
              </w:rPr>
            </w:pPr>
          </w:p>
        </w:tc>
        <w:tc>
          <w:tcPr>
            <w:tcW w:w="9840" w:type="dxa"/>
            <w:vAlign w:val="bottom"/>
            <w:gridSpan w:val="2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Unresolved Staff Comments</w:t>
            </w: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38</w:t>
            </w:r>
          </w:p>
        </w:tc>
      </w:tr>
      <w:tr>
        <w:trPr>
          <w:trHeight w:val="35"/>
        </w:trPr>
        <w:tc>
          <w:tcPr>
            <w:tcW w:w="20" w:type="dxa"/>
            <w:vAlign w:val="bottom"/>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53"/>
        </w:trPr>
        <w:tc>
          <w:tcPr>
            <w:tcW w:w="20" w:type="dxa"/>
            <w:vAlign w:val="bottom"/>
          </w:tcPr>
          <w:p>
            <w:pPr>
              <w:spacing w:after="0"/>
              <w:rPr>
                <w:sz w:val="13"/>
                <w:szCs w:val="13"/>
                <w:color w:val="auto"/>
              </w:rPr>
            </w:pPr>
          </w:p>
        </w:tc>
        <w:tc>
          <w:tcPr>
            <w:tcW w:w="740" w:type="dxa"/>
            <w:vAlign w:val="bottom"/>
            <w:gridSpan w:val="5"/>
          </w:tcPr>
          <w:p>
            <w:pPr>
              <w:spacing w:after="0" w:line="153" w:lineRule="exact"/>
              <w:rPr>
                <w:sz w:val="20"/>
                <w:szCs w:val="20"/>
                <w:color w:val="auto"/>
              </w:rPr>
            </w:pPr>
            <w:r>
              <w:rPr>
                <w:rFonts w:ascii="Times New Roman" w:cs="Times New Roman" w:eastAsia="Times New Roman" w:hAnsi="Times New Roman"/>
                <w:sz w:val="16"/>
                <w:szCs w:val="16"/>
                <w:color w:val="auto"/>
              </w:rPr>
              <w:t>Item 1C.</w:t>
            </w:r>
          </w:p>
        </w:tc>
        <w:tc>
          <w:tcPr>
            <w:tcW w:w="80" w:type="dxa"/>
            <w:vAlign w:val="bottom"/>
          </w:tcPr>
          <w:p>
            <w:pPr>
              <w:spacing w:after="0"/>
              <w:rPr>
                <w:sz w:val="13"/>
                <w:szCs w:val="13"/>
                <w:color w:val="auto"/>
              </w:rPr>
            </w:pPr>
          </w:p>
        </w:tc>
        <w:tc>
          <w:tcPr>
            <w:tcW w:w="9840" w:type="dxa"/>
            <w:vAlign w:val="bottom"/>
            <w:gridSpan w:val="22"/>
          </w:tcPr>
          <w:p>
            <w:pPr>
              <w:spacing w:after="0" w:line="153" w:lineRule="exact"/>
              <w:rPr>
                <w:sz w:val="20"/>
                <w:szCs w:val="20"/>
                <w:color w:val="auto"/>
              </w:rPr>
            </w:pPr>
            <w:r>
              <w:rPr>
                <w:rFonts w:ascii="Times New Roman" w:cs="Times New Roman" w:eastAsia="Times New Roman" w:hAnsi="Times New Roman"/>
                <w:sz w:val="16"/>
                <w:szCs w:val="16"/>
                <w:color w:val="0000EE"/>
              </w:rPr>
              <w:t>Cybersecurity Risk Management, Strategy and Governance</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38</w:t>
            </w:r>
          </w:p>
        </w:tc>
      </w:tr>
      <w:tr>
        <w:trPr>
          <w:trHeight w:val="183"/>
        </w:trPr>
        <w:tc>
          <w:tcPr>
            <w:tcW w:w="20" w:type="dxa"/>
            <w:vAlign w:val="bottom"/>
          </w:tcPr>
          <w:p>
            <w:pPr>
              <w:spacing w:after="0"/>
              <w:rPr>
                <w:sz w:val="15"/>
                <w:szCs w:val="15"/>
                <w:color w:val="auto"/>
              </w:rPr>
            </w:pPr>
          </w:p>
        </w:tc>
        <w:tc>
          <w:tcPr>
            <w:tcW w:w="740" w:type="dxa"/>
            <w:vAlign w:val="bottom"/>
            <w:tcBorders>
              <w:bottom w:val="single" w:sz="8" w:color="CCEEFF"/>
            </w:tcBorders>
            <w:gridSpan w:val="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2.</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top w:val="single" w:sz="8" w:color="0000EE"/>
              <w:bottom w:val="single" w:sz="8" w:color="0000EE"/>
              <w:right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8"/>
              </w:rPr>
              <w:t>Properties</w:t>
            </w:r>
          </w:p>
        </w:tc>
        <w:tc>
          <w:tcPr>
            <w:tcW w:w="3040" w:type="dxa"/>
            <w:vAlign w:val="bottom"/>
            <w:tcBorders>
              <w:top w:val="single" w:sz="8" w:color="0000EE"/>
              <w:bottom w:val="single" w:sz="8" w:color="CCEEFF"/>
            </w:tcBorders>
            <w:gridSpan w:val="12"/>
            <w:shd w:val="clear" w:color="auto" w:fill="CCEEFF"/>
          </w:tcPr>
          <w:p>
            <w:pPr>
              <w:spacing w:after="0"/>
              <w:rPr>
                <w:sz w:val="15"/>
                <w:szCs w:val="15"/>
                <w:color w:val="auto"/>
              </w:rPr>
            </w:pPr>
          </w:p>
        </w:tc>
        <w:tc>
          <w:tcPr>
            <w:tcW w:w="6120" w:type="dxa"/>
            <w:vAlign w:val="bottom"/>
            <w:tcBorders>
              <w:bottom w:val="single" w:sz="8" w:color="CCEEFF"/>
            </w:tcBorders>
            <w:gridSpan w:val="8"/>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38</w:t>
            </w:r>
          </w:p>
        </w:tc>
      </w:tr>
      <w:tr>
        <w:trPr>
          <w:trHeight w:val="153"/>
        </w:trPr>
        <w:tc>
          <w:tcPr>
            <w:tcW w:w="20" w:type="dxa"/>
            <w:vAlign w:val="bottom"/>
          </w:tcPr>
          <w:p>
            <w:pPr>
              <w:spacing w:after="0"/>
              <w:rPr>
                <w:sz w:val="13"/>
                <w:szCs w:val="13"/>
                <w:color w:val="auto"/>
              </w:rPr>
            </w:pPr>
          </w:p>
        </w:tc>
        <w:tc>
          <w:tcPr>
            <w:tcW w:w="740" w:type="dxa"/>
            <w:vAlign w:val="bottom"/>
            <w:gridSpan w:val="5"/>
          </w:tcPr>
          <w:p>
            <w:pPr>
              <w:spacing w:after="0" w:line="153" w:lineRule="exact"/>
              <w:rPr>
                <w:sz w:val="20"/>
                <w:szCs w:val="20"/>
                <w:color w:val="auto"/>
              </w:rPr>
            </w:pPr>
            <w:r>
              <w:rPr>
                <w:rFonts w:ascii="Times New Roman" w:cs="Times New Roman" w:eastAsia="Times New Roman" w:hAnsi="Times New Roman"/>
                <w:sz w:val="16"/>
                <w:szCs w:val="16"/>
                <w:color w:val="auto"/>
              </w:rPr>
              <w:t>Item 3.</w:t>
            </w:r>
          </w:p>
        </w:tc>
        <w:tc>
          <w:tcPr>
            <w:tcW w:w="80" w:type="dxa"/>
            <w:vAlign w:val="bottom"/>
          </w:tcPr>
          <w:p>
            <w:pPr>
              <w:spacing w:after="0"/>
              <w:rPr>
                <w:sz w:val="13"/>
                <w:szCs w:val="13"/>
                <w:color w:val="auto"/>
              </w:rPr>
            </w:pPr>
          </w:p>
        </w:tc>
        <w:tc>
          <w:tcPr>
            <w:tcW w:w="9840" w:type="dxa"/>
            <w:vAlign w:val="bottom"/>
            <w:gridSpan w:val="22"/>
          </w:tcPr>
          <w:p>
            <w:pPr>
              <w:spacing w:after="0" w:line="153" w:lineRule="exact"/>
              <w:rPr>
                <w:sz w:val="20"/>
                <w:szCs w:val="20"/>
                <w:color w:val="auto"/>
              </w:rPr>
            </w:pPr>
            <w:r>
              <w:rPr>
                <w:rFonts w:ascii="Times New Roman" w:cs="Times New Roman" w:eastAsia="Times New Roman" w:hAnsi="Times New Roman"/>
                <w:sz w:val="16"/>
                <w:szCs w:val="16"/>
                <w:color w:val="0000EE"/>
              </w:rPr>
              <w:t>Legal Proceedings</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38</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4.</w:t>
            </w:r>
          </w:p>
        </w:tc>
        <w:tc>
          <w:tcPr>
            <w:tcW w:w="80" w:type="dxa"/>
            <w:vAlign w:val="bottom"/>
            <w:shd w:val="clear" w:color="auto" w:fill="CCEEFF"/>
          </w:tcPr>
          <w:p>
            <w:pPr>
              <w:spacing w:after="0"/>
              <w:rPr>
                <w:sz w:val="15"/>
                <w:szCs w:val="15"/>
                <w:color w:val="auto"/>
              </w:rPr>
            </w:pPr>
          </w:p>
        </w:tc>
        <w:tc>
          <w:tcPr>
            <w:tcW w:w="9840" w:type="dxa"/>
            <w:vAlign w:val="bottom"/>
            <w:gridSpan w:val="2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Mine Safety Disclosures</w:t>
            </w: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38</w:t>
            </w:r>
          </w:p>
        </w:tc>
      </w:tr>
      <w:tr>
        <w:trPr>
          <w:trHeight w:val="153"/>
        </w:trPr>
        <w:tc>
          <w:tcPr>
            <w:tcW w:w="20" w:type="dxa"/>
            <w:vAlign w:val="bottom"/>
          </w:tcPr>
          <w:p>
            <w:pPr>
              <w:spacing w:after="0"/>
              <w:rPr>
                <w:sz w:val="13"/>
                <w:szCs w:val="13"/>
                <w:color w:val="auto"/>
              </w:rPr>
            </w:pPr>
          </w:p>
        </w:tc>
        <w:tc>
          <w:tcPr>
            <w:tcW w:w="740" w:type="dxa"/>
            <w:vAlign w:val="bottom"/>
            <w:tcBorders>
              <w:top w:val="single" w:sz="8" w:color="CCEEFF"/>
            </w:tcBorders>
            <w:gridSpan w:val="5"/>
          </w:tcPr>
          <w:p>
            <w:pPr>
              <w:spacing w:after="0" w:line="153" w:lineRule="exact"/>
              <w:rPr>
                <w:sz w:val="20"/>
                <w:szCs w:val="20"/>
                <w:color w:val="auto"/>
              </w:rPr>
            </w:pPr>
            <w:r>
              <w:rPr>
                <w:rFonts w:ascii="Times New Roman" w:cs="Times New Roman" w:eastAsia="Times New Roman" w:hAnsi="Times New Roman"/>
                <w:sz w:val="16"/>
                <w:szCs w:val="16"/>
                <w:b w:val="1"/>
                <w:bCs w:val="1"/>
                <w:color w:val="0000EE"/>
              </w:rPr>
              <w:t>PART II.</w:t>
            </w:r>
          </w:p>
        </w:tc>
        <w:tc>
          <w:tcPr>
            <w:tcW w:w="80" w:type="dxa"/>
            <w:vAlign w:val="bottom"/>
            <w:tcBorders>
              <w:top w:val="single" w:sz="8" w:color="CCEEFF"/>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282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80" w:type="dxa"/>
            <w:vAlign w:val="bottom"/>
            <w:tcBorders>
              <w:top w:val="single" w:sz="8" w:color="0000EE"/>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5.</w:t>
            </w:r>
          </w:p>
        </w:tc>
        <w:tc>
          <w:tcPr>
            <w:tcW w:w="160" w:type="dxa"/>
            <w:vAlign w:val="bottom"/>
            <w:gridSpan w:val="3"/>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40" w:type="dxa"/>
            <w:vAlign w:val="bottom"/>
            <w:gridSpan w:val="2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Market for Registrant’s Common Equity, Related Stockholder Matters and Issuer Purchases of Equity Securities</w:t>
            </w: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38</w:t>
            </w:r>
          </w:p>
        </w:tc>
      </w:tr>
      <w:tr>
        <w:trPr>
          <w:trHeight w:val="153"/>
        </w:trPr>
        <w:tc>
          <w:tcPr>
            <w:tcW w:w="20" w:type="dxa"/>
            <w:vAlign w:val="bottom"/>
          </w:tcPr>
          <w:p>
            <w:pPr>
              <w:spacing w:after="0"/>
              <w:rPr>
                <w:sz w:val="13"/>
                <w:szCs w:val="13"/>
                <w:color w:val="auto"/>
              </w:rPr>
            </w:pPr>
          </w:p>
        </w:tc>
        <w:tc>
          <w:tcPr>
            <w:tcW w:w="740" w:type="dxa"/>
            <w:vAlign w:val="bottom"/>
            <w:tcBorders>
              <w:top w:val="single" w:sz="8" w:color="CCEEFF"/>
            </w:tcBorders>
            <w:gridSpan w:val="5"/>
          </w:tcPr>
          <w:p>
            <w:pPr>
              <w:spacing w:after="0" w:line="153" w:lineRule="exact"/>
              <w:rPr>
                <w:sz w:val="20"/>
                <w:szCs w:val="20"/>
                <w:color w:val="auto"/>
              </w:rPr>
            </w:pPr>
            <w:r>
              <w:rPr>
                <w:rFonts w:ascii="Times New Roman" w:cs="Times New Roman" w:eastAsia="Times New Roman" w:hAnsi="Times New Roman"/>
                <w:sz w:val="16"/>
                <w:szCs w:val="16"/>
                <w:color w:val="auto"/>
              </w:rPr>
              <w:t>Item 6.</w:t>
            </w:r>
          </w:p>
        </w:tc>
        <w:tc>
          <w:tcPr>
            <w:tcW w:w="80" w:type="dxa"/>
            <w:vAlign w:val="bottom"/>
            <w:tcBorders>
              <w:top w:val="single" w:sz="8" w:color="CCEEFF"/>
            </w:tcBorders>
          </w:tcPr>
          <w:p>
            <w:pPr>
              <w:spacing w:after="0"/>
              <w:rPr>
                <w:sz w:val="13"/>
                <w:szCs w:val="13"/>
                <w:color w:val="auto"/>
              </w:rPr>
            </w:pPr>
          </w:p>
        </w:tc>
        <w:tc>
          <w:tcPr>
            <w:tcW w:w="7020" w:type="dxa"/>
            <w:vAlign w:val="bottom"/>
            <w:tcBorders>
              <w:top w:val="single" w:sz="8" w:color="0000EE"/>
            </w:tcBorders>
            <w:gridSpan w:val="21"/>
          </w:tcPr>
          <w:p>
            <w:pPr>
              <w:spacing w:after="0" w:line="153" w:lineRule="exact"/>
              <w:rPr>
                <w:sz w:val="20"/>
                <w:szCs w:val="20"/>
                <w:color w:val="auto"/>
              </w:rPr>
            </w:pPr>
            <w:r>
              <w:rPr>
                <w:rFonts w:ascii="Times New Roman" w:cs="Times New Roman" w:eastAsia="Times New Roman" w:hAnsi="Times New Roman"/>
                <w:sz w:val="16"/>
                <w:szCs w:val="16"/>
                <w:color w:val="0000EE"/>
              </w:rPr>
              <w:t>[Reserved]</w:t>
            </w:r>
          </w:p>
        </w:tc>
        <w:tc>
          <w:tcPr>
            <w:tcW w:w="282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40</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7.</w:t>
            </w:r>
          </w:p>
        </w:tc>
        <w:tc>
          <w:tcPr>
            <w:tcW w:w="80" w:type="dxa"/>
            <w:vAlign w:val="bottom"/>
            <w:shd w:val="clear" w:color="auto" w:fill="CCEEFF"/>
          </w:tcPr>
          <w:p>
            <w:pPr>
              <w:spacing w:after="0"/>
              <w:rPr>
                <w:sz w:val="15"/>
                <w:szCs w:val="15"/>
                <w:color w:val="auto"/>
              </w:rPr>
            </w:pPr>
          </w:p>
        </w:tc>
        <w:tc>
          <w:tcPr>
            <w:tcW w:w="9840" w:type="dxa"/>
            <w:vAlign w:val="bottom"/>
            <w:gridSpan w:val="2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40</w:t>
            </w:r>
          </w:p>
        </w:tc>
      </w:tr>
      <w:tr>
        <w:trPr>
          <w:trHeight w:val="153"/>
        </w:trPr>
        <w:tc>
          <w:tcPr>
            <w:tcW w:w="20" w:type="dxa"/>
            <w:vAlign w:val="bottom"/>
          </w:tcPr>
          <w:p>
            <w:pPr>
              <w:spacing w:after="0"/>
              <w:rPr>
                <w:sz w:val="13"/>
                <w:szCs w:val="13"/>
                <w:color w:val="auto"/>
              </w:rPr>
            </w:pPr>
          </w:p>
        </w:tc>
        <w:tc>
          <w:tcPr>
            <w:tcW w:w="740" w:type="dxa"/>
            <w:vAlign w:val="bottom"/>
            <w:tcBorders>
              <w:top w:val="single" w:sz="8" w:color="CCEEFF"/>
            </w:tcBorders>
            <w:gridSpan w:val="5"/>
          </w:tcPr>
          <w:p>
            <w:pPr>
              <w:spacing w:after="0" w:line="153" w:lineRule="exact"/>
              <w:rPr>
                <w:sz w:val="20"/>
                <w:szCs w:val="20"/>
                <w:color w:val="auto"/>
              </w:rPr>
            </w:pPr>
            <w:r>
              <w:rPr>
                <w:rFonts w:ascii="Times New Roman" w:cs="Times New Roman" w:eastAsia="Times New Roman" w:hAnsi="Times New Roman"/>
                <w:sz w:val="16"/>
                <w:szCs w:val="16"/>
                <w:color w:val="auto"/>
              </w:rPr>
              <w:t>Item 7A.</w:t>
            </w:r>
          </w:p>
        </w:tc>
        <w:tc>
          <w:tcPr>
            <w:tcW w:w="80" w:type="dxa"/>
            <w:vAlign w:val="bottom"/>
            <w:tcBorders>
              <w:top w:val="single" w:sz="8" w:color="CCEEFF"/>
            </w:tcBorders>
          </w:tcPr>
          <w:p>
            <w:pPr>
              <w:spacing w:after="0"/>
              <w:rPr>
                <w:sz w:val="13"/>
                <w:szCs w:val="13"/>
                <w:color w:val="auto"/>
              </w:rPr>
            </w:pPr>
          </w:p>
        </w:tc>
        <w:tc>
          <w:tcPr>
            <w:tcW w:w="3800" w:type="dxa"/>
            <w:vAlign w:val="bottom"/>
            <w:tcBorders>
              <w:top w:val="single" w:sz="8" w:color="0000EE"/>
              <w:bottom w:val="single" w:sz="8" w:color="0000EE"/>
            </w:tcBorders>
            <w:gridSpan w:val="15"/>
          </w:tcPr>
          <w:p>
            <w:pPr>
              <w:spacing w:after="0" w:line="153" w:lineRule="exact"/>
              <w:rPr>
                <w:sz w:val="20"/>
                <w:szCs w:val="20"/>
                <w:color w:val="auto"/>
              </w:rPr>
            </w:pPr>
            <w:r>
              <w:rPr>
                <w:rFonts w:ascii="Times New Roman" w:cs="Times New Roman" w:eastAsia="Times New Roman" w:hAnsi="Times New Roman"/>
                <w:sz w:val="16"/>
                <w:szCs w:val="16"/>
                <w:color w:val="0000EE"/>
                <w:w w:val="97"/>
              </w:rPr>
              <w:t>Quantitative and Qualitative Disclosures About Market Risk</w:t>
            </w:r>
          </w:p>
        </w:tc>
        <w:tc>
          <w:tcPr>
            <w:tcW w:w="1820" w:type="dxa"/>
            <w:vAlign w:val="bottom"/>
            <w:tcBorders>
              <w:top w:val="single" w:sz="8" w:color="0000EE"/>
            </w:tcBorders>
            <w:gridSpan w:val="3"/>
          </w:tcPr>
          <w:p>
            <w:pPr>
              <w:spacing w:after="0"/>
              <w:rPr>
                <w:sz w:val="13"/>
                <w:szCs w:val="13"/>
                <w:color w:val="auto"/>
              </w:rPr>
            </w:pPr>
          </w:p>
        </w:tc>
        <w:tc>
          <w:tcPr>
            <w:tcW w:w="4220" w:type="dxa"/>
            <w:vAlign w:val="bottom"/>
            <w:tcBorders>
              <w:top w:val="single" w:sz="8" w:color="CCEEFF"/>
            </w:tcBorders>
            <w:gridSpan w:val="4"/>
          </w:tcPr>
          <w:p>
            <w:pPr>
              <w:spacing w:after="0"/>
              <w:rPr>
                <w:sz w:val="13"/>
                <w:szCs w:val="13"/>
                <w:color w:val="auto"/>
              </w:rPr>
            </w:pPr>
          </w:p>
        </w:tc>
        <w:tc>
          <w:tcPr>
            <w:tcW w:w="58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55</w:t>
            </w:r>
          </w:p>
        </w:tc>
      </w:tr>
      <w:tr>
        <w:trPr>
          <w:trHeight w:val="183"/>
        </w:trPr>
        <w:tc>
          <w:tcPr>
            <w:tcW w:w="20" w:type="dxa"/>
            <w:vAlign w:val="bottom"/>
          </w:tcPr>
          <w:p>
            <w:pPr>
              <w:spacing w:after="0"/>
              <w:rPr>
                <w:sz w:val="15"/>
                <w:szCs w:val="15"/>
                <w:color w:val="auto"/>
              </w:rPr>
            </w:pPr>
          </w:p>
        </w:tc>
        <w:tc>
          <w:tcPr>
            <w:tcW w:w="740" w:type="dxa"/>
            <w:vAlign w:val="bottom"/>
            <w:tcBorders>
              <w:bottom w:val="single" w:sz="8" w:color="CCEEFF"/>
            </w:tcBorders>
            <w:gridSpan w:val="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8.</w:t>
            </w:r>
          </w:p>
        </w:tc>
        <w:tc>
          <w:tcPr>
            <w:tcW w:w="80" w:type="dxa"/>
            <w:vAlign w:val="bottom"/>
            <w:tcBorders>
              <w:bottom w:val="single" w:sz="8" w:color="CCEEFF"/>
            </w:tcBorders>
            <w:shd w:val="clear" w:color="auto" w:fill="CCEEFF"/>
          </w:tcPr>
          <w:p>
            <w:pPr>
              <w:spacing w:after="0"/>
              <w:rPr>
                <w:sz w:val="15"/>
                <w:szCs w:val="15"/>
                <w:color w:val="auto"/>
              </w:rPr>
            </w:pPr>
          </w:p>
        </w:tc>
        <w:tc>
          <w:tcPr>
            <w:tcW w:w="2900" w:type="dxa"/>
            <w:vAlign w:val="bottom"/>
            <w:tcBorders>
              <w:bottom w:val="single" w:sz="8" w:color="0000EE"/>
            </w:tcBorders>
            <w:gridSpan w:val="1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7"/>
              </w:rPr>
              <w:t>Financial Statements and Supplementary Data</w:t>
            </w:r>
          </w:p>
        </w:tc>
        <w:tc>
          <w:tcPr>
            <w:tcW w:w="6940" w:type="dxa"/>
            <w:vAlign w:val="bottom"/>
            <w:tcBorders>
              <w:bottom w:val="single" w:sz="8" w:color="CCEEFF"/>
            </w:tcBorders>
            <w:gridSpan w:val="10"/>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55</w:t>
            </w:r>
          </w:p>
        </w:tc>
      </w:tr>
      <w:tr>
        <w:trPr>
          <w:trHeight w:val="153"/>
        </w:trPr>
        <w:tc>
          <w:tcPr>
            <w:tcW w:w="20" w:type="dxa"/>
            <w:vAlign w:val="bottom"/>
          </w:tcPr>
          <w:p>
            <w:pPr>
              <w:spacing w:after="0"/>
              <w:rPr>
                <w:sz w:val="13"/>
                <w:szCs w:val="13"/>
                <w:color w:val="auto"/>
              </w:rPr>
            </w:pPr>
          </w:p>
        </w:tc>
        <w:tc>
          <w:tcPr>
            <w:tcW w:w="740" w:type="dxa"/>
            <w:vAlign w:val="bottom"/>
            <w:gridSpan w:val="5"/>
          </w:tcPr>
          <w:p>
            <w:pPr>
              <w:spacing w:after="0" w:line="153" w:lineRule="exact"/>
              <w:rPr>
                <w:sz w:val="20"/>
                <w:szCs w:val="20"/>
                <w:color w:val="auto"/>
              </w:rPr>
            </w:pPr>
            <w:r>
              <w:rPr>
                <w:rFonts w:ascii="Times New Roman" w:cs="Times New Roman" w:eastAsia="Times New Roman" w:hAnsi="Times New Roman"/>
                <w:sz w:val="16"/>
                <w:szCs w:val="16"/>
                <w:color w:val="auto"/>
              </w:rPr>
              <w:t>Item 9.</w:t>
            </w:r>
          </w:p>
        </w:tc>
        <w:tc>
          <w:tcPr>
            <w:tcW w:w="80" w:type="dxa"/>
            <w:vAlign w:val="bottom"/>
          </w:tcPr>
          <w:p>
            <w:pPr>
              <w:spacing w:after="0"/>
              <w:rPr>
                <w:sz w:val="13"/>
                <w:szCs w:val="13"/>
                <w:color w:val="auto"/>
              </w:rPr>
            </w:pPr>
          </w:p>
        </w:tc>
        <w:tc>
          <w:tcPr>
            <w:tcW w:w="5640" w:type="dxa"/>
            <w:vAlign w:val="bottom"/>
            <w:tcBorders>
              <w:bottom w:val="single" w:sz="8" w:color="0000EE"/>
            </w:tcBorders>
            <w:gridSpan w:val="19"/>
          </w:tcPr>
          <w:p>
            <w:pPr>
              <w:spacing w:after="0" w:line="153" w:lineRule="exact"/>
              <w:rPr>
                <w:sz w:val="20"/>
                <w:szCs w:val="20"/>
                <w:color w:val="auto"/>
              </w:rPr>
            </w:pPr>
            <w:r>
              <w:rPr>
                <w:rFonts w:ascii="Times New Roman" w:cs="Times New Roman" w:eastAsia="Times New Roman" w:hAnsi="Times New Roman"/>
                <w:sz w:val="16"/>
                <w:szCs w:val="16"/>
                <w:color w:val="0000EE"/>
                <w:w w:val="97"/>
              </w:rPr>
              <w:t>Changes in and Disagreements with Accountants on Accounting and Financial Disclosure</w:t>
            </w:r>
          </w:p>
        </w:tc>
        <w:tc>
          <w:tcPr>
            <w:tcW w:w="4200" w:type="dxa"/>
            <w:vAlign w:val="bottom"/>
            <w:gridSpan w:val="3"/>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56</w:t>
            </w:r>
          </w:p>
        </w:tc>
      </w:tr>
      <w:tr>
        <w:trPr>
          <w:trHeight w:val="183"/>
        </w:trPr>
        <w:tc>
          <w:tcPr>
            <w:tcW w:w="20" w:type="dxa"/>
            <w:vAlign w:val="bottom"/>
          </w:tcPr>
          <w:p>
            <w:pPr>
              <w:spacing w:after="0"/>
              <w:rPr>
                <w:sz w:val="15"/>
                <w:szCs w:val="15"/>
                <w:color w:val="auto"/>
              </w:rPr>
            </w:pPr>
          </w:p>
        </w:tc>
        <w:tc>
          <w:tcPr>
            <w:tcW w:w="740" w:type="dxa"/>
            <w:vAlign w:val="bottom"/>
            <w:gridSpan w:val="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9A.</w:t>
            </w:r>
          </w:p>
        </w:tc>
        <w:tc>
          <w:tcPr>
            <w:tcW w:w="80" w:type="dxa"/>
            <w:vAlign w:val="bottom"/>
            <w:shd w:val="clear" w:color="auto" w:fill="CCEEFF"/>
          </w:tcPr>
          <w:p>
            <w:pPr>
              <w:spacing w:after="0"/>
              <w:rPr>
                <w:sz w:val="15"/>
                <w:szCs w:val="15"/>
                <w:color w:val="auto"/>
              </w:rPr>
            </w:pPr>
          </w:p>
        </w:tc>
        <w:tc>
          <w:tcPr>
            <w:tcW w:w="9840" w:type="dxa"/>
            <w:vAlign w:val="bottom"/>
            <w:gridSpan w:val="2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Controls and Procedures</w:t>
            </w: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56</w:t>
            </w:r>
          </w:p>
        </w:tc>
      </w:tr>
      <w:tr>
        <w:trPr>
          <w:trHeight w:val="153"/>
        </w:trPr>
        <w:tc>
          <w:tcPr>
            <w:tcW w:w="20" w:type="dxa"/>
            <w:vAlign w:val="bottom"/>
          </w:tcPr>
          <w:p>
            <w:pPr>
              <w:spacing w:after="0"/>
              <w:rPr>
                <w:sz w:val="13"/>
                <w:szCs w:val="13"/>
                <w:color w:val="auto"/>
              </w:rPr>
            </w:pPr>
          </w:p>
        </w:tc>
        <w:tc>
          <w:tcPr>
            <w:tcW w:w="740" w:type="dxa"/>
            <w:vAlign w:val="bottom"/>
            <w:tcBorders>
              <w:top w:val="single" w:sz="8" w:color="CCEEFF"/>
            </w:tcBorders>
            <w:gridSpan w:val="5"/>
          </w:tcPr>
          <w:p>
            <w:pPr>
              <w:spacing w:after="0" w:line="153" w:lineRule="exact"/>
              <w:rPr>
                <w:sz w:val="20"/>
                <w:szCs w:val="20"/>
                <w:color w:val="auto"/>
              </w:rPr>
            </w:pPr>
            <w:r>
              <w:rPr>
                <w:rFonts w:ascii="Times New Roman" w:cs="Times New Roman" w:eastAsia="Times New Roman" w:hAnsi="Times New Roman"/>
                <w:sz w:val="16"/>
                <w:szCs w:val="16"/>
                <w:color w:val="auto"/>
              </w:rPr>
              <w:t>Item 9B.</w:t>
            </w:r>
          </w:p>
        </w:tc>
        <w:tc>
          <w:tcPr>
            <w:tcW w:w="80" w:type="dxa"/>
            <w:vAlign w:val="bottom"/>
            <w:tcBorders>
              <w:top w:val="single" w:sz="8" w:color="CCEEFF"/>
            </w:tcBorders>
          </w:tcPr>
          <w:p>
            <w:pPr>
              <w:spacing w:after="0"/>
              <w:rPr>
                <w:sz w:val="13"/>
                <w:szCs w:val="13"/>
                <w:color w:val="auto"/>
              </w:rPr>
            </w:pPr>
          </w:p>
        </w:tc>
        <w:tc>
          <w:tcPr>
            <w:tcW w:w="1540" w:type="dxa"/>
            <w:vAlign w:val="bottom"/>
            <w:tcBorders>
              <w:top w:val="single" w:sz="8" w:color="0000EE"/>
            </w:tcBorders>
            <w:gridSpan w:val="7"/>
          </w:tcPr>
          <w:p>
            <w:pPr>
              <w:spacing w:after="0" w:line="153" w:lineRule="exact"/>
              <w:rPr>
                <w:sz w:val="20"/>
                <w:szCs w:val="20"/>
                <w:color w:val="auto"/>
              </w:rPr>
            </w:pPr>
            <w:r>
              <w:rPr>
                <w:rFonts w:ascii="Times New Roman" w:cs="Times New Roman" w:eastAsia="Times New Roman" w:hAnsi="Times New Roman"/>
                <w:sz w:val="16"/>
                <w:szCs w:val="16"/>
                <w:color w:val="0000EE"/>
              </w:rPr>
              <w:t>Other Information</w:t>
            </w:r>
          </w:p>
        </w:tc>
        <w:tc>
          <w:tcPr>
            <w:tcW w:w="8300" w:type="dxa"/>
            <w:vAlign w:val="bottom"/>
            <w:tcBorders>
              <w:top w:val="single" w:sz="8" w:color="CCEEFF"/>
            </w:tcBorders>
            <w:gridSpan w:val="15"/>
          </w:tcPr>
          <w:p>
            <w:pPr>
              <w:spacing w:after="0"/>
              <w:rPr>
                <w:sz w:val="13"/>
                <w:szCs w:val="13"/>
                <w:color w:val="auto"/>
              </w:rPr>
            </w:pPr>
          </w:p>
        </w:tc>
        <w:tc>
          <w:tcPr>
            <w:tcW w:w="58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56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9C.</w:t>
            </w:r>
          </w:p>
        </w:tc>
        <w:tc>
          <w:tcPr>
            <w:tcW w:w="80" w:type="dxa"/>
            <w:vAlign w:val="bottom"/>
            <w:shd w:val="clear" w:color="auto" w:fill="CCEEFF"/>
          </w:tcPr>
          <w:p>
            <w:pPr>
              <w:spacing w:after="0"/>
              <w:rPr>
                <w:sz w:val="15"/>
                <w:szCs w:val="15"/>
                <w:color w:val="auto"/>
              </w:rPr>
            </w:pPr>
          </w:p>
        </w:tc>
        <w:tc>
          <w:tcPr>
            <w:tcW w:w="9840" w:type="dxa"/>
            <w:vAlign w:val="bottom"/>
            <w:gridSpan w:val="2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Disclosures Regarding Foreign Jurisdictions That Prevent Inspections</w:t>
            </w: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56</w:t>
            </w:r>
          </w:p>
        </w:tc>
      </w:tr>
      <w:tr>
        <w:trPr>
          <w:trHeight w:val="153"/>
        </w:trPr>
        <w:tc>
          <w:tcPr>
            <w:tcW w:w="20" w:type="dxa"/>
            <w:vAlign w:val="bottom"/>
          </w:tcPr>
          <w:p>
            <w:pPr>
              <w:spacing w:after="0"/>
              <w:rPr>
                <w:sz w:val="13"/>
                <w:szCs w:val="13"/>
                <w:color w:val="auto"/>
              </w:rPr>
            </w:pPr>
          </w:p>
        </w:tc>
        <w:tc>
          <w:tcPr>
            <w:tcW w:w="740" w:type="dxa"/>
            <w:vAlign w:val="bottom"/>
            <w:tcBorders>
              <w:top w:val="single" w:sz="8" w:color="CCEEFF"/>
            </w:tcBorders>
            <w:gridSpan w:val="5"/>
          </w:tcPr>
          <w:p>
            <w:pPr>
              <w:spacing w:after="0" w:line="153" w:lineRule="exact"/>
              <w:rPr>
                <w:sz w:val="20"/>
                <w:szCs w:val="20"/>
                <w:color w:val="auto"/>
              </w:rPr>
            </w:pPr>
            <w:r>
              <w:rPr>
                <w:rFonts w:ascii="Times New Roman" w:cs="Times New Roman" w:eastAsia="Times New Roman" w:hAnsi="Times New Roman"/>
                <w:sz w:val="16"/>
                <w:szCs w:val="16"/>
                <w:b w:val="1"/>
                <w:bCs w:val="1"/>
                <w:color w:val="0000EE"/>
              </w:rPr>
              <w:t>PART III.</w:t>
            </w:r>
          </w:p>
        </w:tc>
        <w:tc>
          <w:tcPr>
            <w:tcW w:w="80" w:type="dxa"/>
            <w:vAlign w:val="bottom"/>
            <w:tcBorders>
              <w:top w:val="single" w:sz="8" w:color="CCEEFF"/>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7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66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282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640" w:type="dxa"/>
            <w:vAlign w:val="bottom"/>
            <w:tcBorders>
              <w:top w:val="single" w:sz="8" w:color="0000EE"/>
            </w:tcBorders>
            <w:gridSpan w:val="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40" w:type="dxa"/>
            <w:vAlign w:val="bottom"/>
            <w:gridSpan w:val="2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Directors, Executive Officers and Corporate Governance</w:t>
            </w: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57</w:t>
            </w:r>
          </w:p>
        </w:tc>
      </w:tr>
      <w:tr>
        <w:trPr>
          <w:trHeight w:val="153"/>
        </w:trPr>
        <w:tc>
          <w:tcPr>
            <w:tcW w:w="20" w:type="dxa"/>
            <w:vAlign w:val="bottom"/>
          </w:tcPr>
          <w:p>
            <w:pPr>
              <w:spacing w:after="0"/>
              <w:rPr>
                <w:sz w:val="13"/>
                <w:szCs w:val="13"/>
                <w:color w:val="auto"/>
              </w:rPr>
            </w:pPr>
          </w:p>
        </w:tc>
        <w:tc>
          <w:tcPr>
            <w:tcW w:w="740" w:type="dxa"/>
            <w:vAlign w:val="bottom"/>
            <w:tcBorders>
              <w:top w:val="single" w:sz="8" w:color="CCEEFF"/>
            </w:tcBorders>
            <w:gridSpan w:val="5"/>
          </w:tcPr>
          <w:p>
            <w:pPr>
              <w:spacing w:after="0" w:line="153" w:lineRule="exact"/>
              <w:rPr>
                <w:sz w:val="20"/>
                <w:szCs w:val="20"/>
                <w:color w:val="auto"/>
              </w:rPr>
            </w:pPr>
            <w:r>
              <w:rPr>
                <w:rFonts w:ascii="Times New Roman" w:cs="Times New Roman" w:eastAsia="Times New Roman" w:hAnsi="Times New Roman"/>
                <w:sz w:val="16"/>
                <w:szCs w:val="16"/>
                <w:color w:val="auto"/>
              </w:rPr>
              <w:t>Item 11.</w:t>
            </w:r>
          </w:p>
        </w:tc>
        <w:tc>
          <w:tcPr>
            <w:tcW w:w="80" w:type="dxa"/>
            <w:vAlign w:val="bottom"/>
            <w:tcBorders>
              <w:top w:val="single" w:sz="8" w:color="CCEEFF"/>
            </w:tcBorders>
          </w:tcPr>
          <w:p>
            <w:pPr>
              <w:spacing w:after="0"/>
              <w:rPr>
                <w:sz w:val="13"/>
                <w:szCs w:val="13"/>
                <w:color w:val="auto"/>
              </w:rPr>
            </w:pPr>
          </w:p>
        </w:tc>
        <w:tc>
          <w:tcPr>
            <w:tcW w:w="1580" w:type="dxa"/>
            <w:vAlign w:val="bottom"/>
            <w:tcBorders>
              <w:top w:val="single" w:sz="8" w:color="0000EE"/>
              <w:bottom w:val="single" w:sz="8" w:color="0000EE"/>
            </w:tcBorders>
            <w:gridSpan w:val="8"/>
          </w:tcPr>
          <w:p>
            <w:pPr>
              <w:spacing w:after="0" w:line="153" w:lineRule="exact"/>
              <w:rPr>
                <w:sz w:val="20"/>
                <w:szCs w:val="20"/>
                <w:color w:val="auto"/>
              </w:rPr>
            </w:pPr>
            <w:r>
              <w:rPr>
                <w:rFonts w:ascii="Times New Roman" w:cs="Times New Roman" w:eastAsia="Times New Roman" w:hAnsi="Times New Roman"/>
                <w:sz w:val="16"/>
                <w:szCs w:val="16"/>
                <w:color w:val="0000EE"/>
                <w:w w:val="97"/>
              </w:rPr>
              <w:t>Executive Compensation</w:t>
            </w:r>
          </w:p>
        </w:tc>
        <w:tc>
          <w:tcPr>
            <w:tcW w:w="1980" w:type="dxa"/>
            <w:vAlign w:val="bottom"/>
            <w:tcBorders>
              <w:top w:val="single" w:sz="8" w:color="0000EE"/>
            </w:tcBorders>
            <w:gridSpan w:val="5"/>
          </w:tcPr>
          <w:p>
            <w:pPr>
              <w:spacing w:after="0"/>
              <w:rPr>
                <w:sz w:val="13"/>
                <w:szCs w:val="13"/>
                <w:color w:val="auto"/>
              </w:rPr>
            </w:pPr>
          </w:p>
        </w:tc>
        <w:tc>
          <w:tcPr>
            <w:tcW w:w="6280" w:type="dxa"/>
            <w:vAlign w:val="bottom"/>
            <w:tcBorders>
              <w:top w:val="single" w:sz="8" w:color="CCEEFF"/>
            </w:tcBorders>
            <w:gridSpan w:val="9"/>
          </w:tcPr>
          <w:p>
            <w:pPr>
              <w:spacing w:after="0"/>
              <w:rPr>
                <w:sz w:val="13"/>
                <w:szCs w:val="13"/>
                <w:color w:val="auto"/>
              </w:rPr>
            </w:pPr>
          </w:p>
        </w:tc>
        <w:tc>
          <w:tcPr>
            <w:tcW w:w="58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57</w:t>
            </w:r>
          </w:p>
        </w:tc>
      </w:tr>
      <w:tr>
        <w:trPr>
          <w:trHeight w:val="183"/>
        </w:trPr>
        <w:tc>
          <w:tcPr>
            <w:tcW w:w="20" w:type="dxa"/>
            <w:vAlign w:val="bottom"/>
          </w:tcPr>
          <w:p>
            <w:pPr>
              <w:spacing w:after="0"/>
              <w:rPr>
                <w:sz w:val="15"/>
                <w:szCs w:val="15"/>
                <w:color w:val="auto"/>
              </w:rPr>
            </w:pPr>
          </w:p>
        </w:tc>
        <w:tc>
          <w:tcPr>
            <w:tcW w:w="740" w:type="dxa"/>
            <w:vAlign w:val="bottom"/>
            <w:gridSpan w:val="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12.</w:t>
            </w:r>
          </w:p>
        </w:tc>
        <w:tc>
          <w:tcPr>
            <w:tcW w:w="80" w:type="dxa"/>
            <w:vAlign w:val="bottom"/>
            <w:shd w:val="clear" w:color="auto" w:fill="CCEEFF"/>
          </w:tcPr>
          <w:p>
            <w:pPr>
              <w:spacing w:after="0"/>
              <w:rPr>
                <w:sz w:val="15"/>
                <w:szCs w:val="15"/>
                <w:color w:val="auto"/>
              </w:rPr>
            </w:pPr>
          </w:p>
        </w:tc>
        <w:tc>
          <w:tcPr>
            <w:tcW w:w="9840" w:type="dxa"/>
            <w:vAlign w:val="bottom"/>
            <w:gridSpan w:val="2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 and Related Stockholder Matters</w:t>
            </w: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57</w:t>
            </w:r>
          </w:p>
        </w:tc>
      </w:tr>
      <w:tr>
        <w:trPr>
          <w:trHeight w:val="153"/>
        </w:trPr>
        <w:tc>
          <w:tcPr>
            <w:tcW w:w="20" w:type="dxa"/>
            <w:vAlign w:val="bottom"/>
          </w:tcPr>
          <w:p>
            <w:pPr>
              <w:spacing w:after="0"/>
              <w:rPr>
                <w:sz w:val="13"/>
                <w:szCs w:val="13"/>
                <w:color w:val="auto"/>
              </w:rPr>
            </w:pPr>
          </w:p>
        </w:tc>
        <w:tc>
          <w:tcPr>
            <w:tcW w:w="740" w:type="dxa"/>
            <w:vAlign w:val="bottom"/>
            <w:tcBorders>
              <w:top w:val="single" w:sz="8" w:color="CCEEFF"/>
            </w:tcBorders>
            <w:gridSpan w:val="5"/>
          </w:tcPr>
          <w:p>
            <w:pPr>
              <w:spacing w:after="0" w:line="153" w:lineRule="exact"/>
              <w:rPr>
                <w:sz w:val="20"/>
                <w:szCs w:val="20"/>
                <w:color w:val="auto"/>
              </w:rPr>
            </w:pPr>
            <w:r>
              <w:rPr>
                <w:rFonts w:ascii="Times New Roman" w:cs="Times New Roman" w:eastAsia="Times New Roman" w:hAnsi="Times New Roman"/>
                <w:sz w:val="16"/>
                <w:szCs w:val="16"/>
                <w:color w:val="auto"/>
              </w:rPr>
              <w:t>Item 13.</w:t>
            </w:r>
          </w:p>
        </w:tc>
        <w:tc>
          <w:tcPr>
            <w:tcW w:w="80" w:type="dxa"/>
            <w:vAlign w:val="bottom"/>
            <w:tcBorders>
              <w:top w:val="single" w:sz="8" w:color="CCEEFF"/>
            </w:tcBorders>
          </w:tcPr>
          <w:p>
            <w:pPr>
              <w:spacing w:after="0"/>
              <w:rPr>
                <w:sz w:val="13"/>
                <w:szCs w:val="13"/>
                <w:color w:val="auto"/>
              </w:rPr>
            </w:pPr>
          </w:p>
        </w:tc>
        <w:tc>
          <w:tcPr>
            <w:tcW w:w="6340" w:type="dxa"/>
            <w:vAlign w:val="bottom"/>
            <w:tcBorders>
              <w:top w:val="single" w:sz="8" w:color="0000EE"/>
            </w:tcBorders>
            <w:gridSpan w:val="20"/>
          </w:tcPr>
          <w:p>
            <w:pPr>
              <w:spacing w:after="0" w:line="153" w:lineRule="exact"/>
              <w:rPr>
                <w:sz w:val="20"/>
                <w:szCs w:val="20"/>
                <w:color w:val="auto"/>
              </w:rPr>
            </w:pPr>
            <w:r>
              <w:rPr>
                <w:rFonts w:ascii="Times New Roman" w:cs="Times New Roman" w:eastAsia="Times New Roman" w:hAnsi="Times New Roman"/>
                <w:sz w:val="16"/>
                <w:szCs w:val="16"/>
                <w:color w:val="0000EE"/>
              </w:rPr>
              <w:t>Certain Relationships and Related Transactions, and Director Independence</w:t>
            </w:r>
          </w:p>
        </w:tc>
        <w:tc>
          <w:tcPr>
            <w:tcW w:w="3500" w:type="dxa"/>
            <w:vAlign w:val="bottom"/>
            <w:tcBorders>
              <w:top w:val="single" w:sz="8" w:color="CCEEFF"/>
            </w:tcBorders>
            <w:gridSpan w:val="2"/>
          </w:tcPr>
          <w:p>
            <w:pPr>
              <w:spacing w:after="0"/>
              <w:rPr>
                <w:sz w:val="13"/>
                <w:szCs w:val="13"/>
                <w:color w:val="auto"/>
              </w:rPr>
            </w:pPr>
          </w:p>
        </w:tc>
        <w:tc>
          <w:tcPr>
            <w:tcW w:w="58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57</w:t>
            </w:r>
          </w:p>
        </w:tc>
      </w:tr>
      <w:tr>
        <w:trPr>
          <w:trHeight w:val="183"/>
        </w:trPr>
        <w:tc>
          <w:tcPr>
            <w:tcW w:w="20" w:type="dxa"/>
            <w:vAlign w:val="bottom"/>
          </w:tcPr>
          <w:p>
            <w:pPr>
              <w:spacing w:after="0"/>
              <w:rPr>
                <w:sz w:val="15"/>
                <w:szCs w:val="15"/>
                <w:color w:val="auto"/>
              </w:rPr>
            </w:pPr>
          </w:p>
        </w:tc>
        <w:tc>
          <w:tcPr>
            <w:tcW w:w="740" w:type="dxa"/>
            <w:vAlign w:val="bottom"/>
            <w:gridSpan w:val="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14.</w:t>
            </w:r>
          </w:p>
        </w:tc>
        <w:tc>
          <w:tcPr>
            <w:tcW w:w="80" w:type="dxa"/>
            <w:vAlign w:val="bottom"/>
            <w:shd w:val="clear" w:color="auto" w:fill="CCEEFF"/>
          </w:tcPr>
          <w:p>
            <w:pPr>
              <w:spacing w:after="0"/>
              <w:rPr>
                <w:sz w:val="15"/>
                <w:szCs w:val="15"/>
                <w:color w:val="auto"/>
              </w:rPr>
            </w:pPr>
          </w:p>
        </w:tc>
        <w:tc>
          <w:tcPr>
            <w:tcW w:w="4740" w:type="dxa"/>
            <w:vAlign w:val="bottom"/>
            <w:tcBorders>
              <w:top w:val="single" w:sz="8" w:color="0000EE"/>
            </w:tcBorders>
            <w:gridSpan w:val="17"/>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5100" w:type="dxa"/>
            <w:vAlign w:val="bottom"/>
            <w:gridSpan w:val="5"/>
            <w:shd w:val="clear" w:color="auto" w:fill="CCEEFF"/>
          </w:tcPr>
          <w:p>
            <w:pPr>
              <w:spacing w:after="0"/>
              <w:rPr>
                <w:sz w:val="15"/>
                <w:szCs w:val="15"/>
                <w:color w:val="auto"/>
              </w:rPr>
            </w:pP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57</w:t>
            </w:r>
          </w:p>
        </w:tc>
      </w:tr>
      <w:tr>
        <w:trPr>
          <w:trHeight w:val="153"/>
        </w:trPr>
        <w:tc>
          <w:tcPr>
            <w:tcW w:w="20" w:type="dxa"/>
            <w:vAlign w:val="bottom"/>
          </w:tcPr>
          <w:p>
            <w:pPr>
              <w:spacing w:after="0"/>
              <w:rPr>
                <w:sz w:val="13"/>
                <w:szCs w:val="13"/>
                <w:color w:val="auto"/>
              </w:rPr>
            </w:pPr>
          </w:p>
        </w:tc>
        <w:tc>
          <w:tcPr>
            <w:tcW w:w="620" w:type="dxa"/>
            <w:vAlign w:val="bottom"/>
            <w:tcBorders>
              <w:top w:val="single" w:sz="8" w:color="CCEEFF"/>
              <w:bottom w:val="single" w:sz="8" w:color="0000EE"/>
            </w:tcBorders>
            <w:gridSpan w:val="3"/>
          </w:tcPr>
          <w:p>
            <w:pPr>
              <w:spacing w:after="0" w:line="153" w:lineRule="exact"/>
              <w:rPr>
                <w:sz w:val="20"/>
                <w:szCs w:val="20"/>
                <w:color w:val="auto"/>
              </w:rPr>
            </w:pPr>
            <w:r>
              <w:rPr>
                <w:rFonts w:ascii="Times New Roman" w:cs="Times New Roman" w:eastAsia="Times New Roman" w:hAnsi="Times New Roman"/>
                <w:sz w:val="16"/>
                <w:szCs w:val="16"/>
                <w:b w:val="1"/>
                <w:bCs w:val="1"/>
                <w:color w:val="0000EE"/>
                <w:w w:val="86"/>
              </w:rPr>
              <w:t>PART IV.</w:t>
            </w:r>
          </w:p>
        </w:tc>
        <w:tc>
          <w:tcPr>
            <w:tcW w:w="120" w:type="dxa"/>
            <w:vAlign w:val="bottom"/>
            <w:tcBorders>
              <w:top w:val="single" w:sz="8" w:color="CCEEFF"/>
            </w:tcBorders>
            <w:gridSpan w:val="2"/>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700" w:type="dxa"/>
            <w:vAlign w:val="bottom"/>
            <w:tcBorders>
              <w:top w:val="single" w:sz="8" w:color="0000EE"/>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282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740" w:type="dxa"/>
            <w:vAlign w:val="bottom"/>
            <w:gridSpan w:val="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15.</w:t>
            </w:r>
          </w:p>
        </w:tc>
        <w:tc>
          <w:tcPr>
            <w:tcW w:w="80" w:type="dxa"/>
            <w:vAlign w:val="bottom"/>
            <w:shd w:val="clear" w:color="auto" w:fill="CCEEFF"/>
          </w:tcPr>
          <w:p>
            <w:pPr>
              <w:spacing w:after="0"/>
              <w:rPr>
                <w:sz w:val="15"/>
                <w:szCs w:val="15"/>
                <w:color w:val="auto"/>
              </w:rPr>
            </w:pPr>
          </w:p>
        </w:tc>
        <w:tc>
          <w:tcPr>
            <w:tcW w:w="9840" w:type="dxa"/>
            <w:vAlign w:val="bottom"/>
            <w:gridSpan w:val="2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Exhibits and Financial Statement Schedules</w:t>
            </w: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58</w:t>
            </w:r>
          </w:p>
        </w:tc>
      </w:tr>
      <w:tr>
        <w:trPr>
          <w:trHeight w:val="153"/>
        </w:trPr>
        <w:tc>
          <w:tcPr>
            <w:tcW w:w="20" w:type="dxa"/>
            <w:vAlign w:val="bottom"/>
          </w:tcPr>
          <w:p>
            <w:pPr>
              <w:spacing w:after="0"/>
              <w:rPr>
                <w:sz w:val="13"/>
                <w:szCs w:val="13"/>
                <w:color w:val="auto"/>
              </w:rPr>
            </w:pPr>
          </w:p>
        </w:tc>
        <w:tc>
          <w:tcPr>
            <w:tcW w:w="740" w:type="dxa"/>
            <w:vAlign w:val="bottom"/>
            <w:tcBorders>
              <w:top w:val="single" w:sz="8" w:color="CCEEFF"/>
            </w:tcBorders>
            <w:gridSpan w:val="5"/>
          </w:tcPr>
          <w:p>
            <w:pPr>
              <w:spacing w:after="0" w:line="153" w:lineRule="exact"/>
              <w:rPr>
                <w:sz w:val="20"/>
                <w:szCs w:val="20"/>
                <w:color w:val="auto"/>
              </w:rPr>
            </w:pPr>
            <w:r>
              <w:rPr>
                <w:rFonts w:ascii="Times New Roman" w:cs="Times New Roman" w:eastAsia="Times New Roman" w:hAnsi="Times New Roman"/>
                <w:sz w:val="16"/>
                <w:szCs w:val="16"/>
                <w:color w:val="auto"/>
              </w:rPr>
              <w:t>Item 16.</w:t>
            </w:r>
          </w:p>
        </w:tc>
        <w:tc>
          <w:tcPr>
            <w:tcW w:w="80" w:type="dxa"/>
            <w:vAlign w:val="bottom"/>
            <w:tcBorders>
              <w:top w:val="single" w:sz="8" w:color="CCEEFF"/>
            </w:tcBorders>
          </w:tcPr>
          <w:p>
            <w:pPr>
              <w:spacing w:after="0"/>
              <w:rPr>
                <w:sz w:val="13"/>
                <w:szCs w:val="13"/>
                <w:color w:val="auto"/>
              </w:rPr>
            </w:pPr>
          </w:p>
        </w:tc>
        <w:tc>
          <w:tcPr>
            <w:tcW w:w="2740" w:type="dxa"/>
            <w:vAlign w:val="bottom"/>
            <w:tcBorders>
              <w:top w:val="single" w:sz="8" w:color="0000EE"/>
            </w:tcBorders>
            <w:gridSpan w:val="11"/>
          </w:tcPr>
          <w:p>
            <w:pPr>
              <w:spacing w:after="0" w:line="153" w:lineRule="exact"/>
              <w:rPr>
                <w:sz w:val="20"/>
                <w:szCs w:val="20"/>
                <w:color w:val="auto"/>
              </w:rPr>
            </w:pPr>
            <w:r>
              <w:rPr>
                <w:rFonts w:ascii="Times New Roman" w:cs="Times New Roman" w:eastAsia="Times New Roman" w:hAnsi="Times New Roman"/>
                <w:sz w:val="16"/>
                <w:szCs w:val="16"/>
                <w:color w:val="0000EE"/>
              </w:rPr>
              <w:t>Form 10-K Summary</w:t>
            </w:r>
          </w:p>
        </w:tc>
        <w:tc>
          <w:tcPr>
            <w:tcW w:w="7100" w:type="dxa"/>
            <w:vAlign w:val="bottom"/>
            <w:tcBorders>
              <w:top w:val="single" w:sz="8" w:color="CCEEFF"/>
            </w:tcBorders>
            <w:gridSpan w:val="11"/>
          </w:tcPr>
          <w:p>
            <w:pPr>
              <w:spacing w:after="0"/>
              <w:rPr>
                <w:sz w:val="13"/>
                <w:szCs w:val="13"/>
                <w:color w:val="auto"/>
              </w:rPr>
            </w:pPr>
          </w:p>
        </w:tc>
        <w:tc>
          <w:tcPr>
            <w:tcW w:w="58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60</w:t>
            </w:r>
          </w:p>
        </w:tc>
      </w:tr>
      <w:tr>
        <w:trPr>
          <w:trHeight w:val="183"/>
        </w:trPr>
        <w:tc>
          <w:tcPr>
            <w:tcW w:w="20" w:type="dxa"/>
            <w:vAlign w:val="bottom"/>
          </w:tcPr>
          <w:p>
            <w:pPr>
              <w:spacing w:after="0"/>
              <w:rPr>
                <w:sz w:val="15"/>
                <w:szCs w:val="15"/>
                <w:color w:val="auto"/>
              </w:rPr>
            </w:pPr>
          </w:p>
        </w:tc>
        <w:tc>
          <w:tcPr>
            <w:tcW w:w="640" w:type="dxa"/>
            <w:vAlign w:val="bottom"/>
            <w:tcBorders>
              <w:bottom w:val="single" w:sz="8" w:color="0000EE"/>
            </w:tcBorders>
            <w:gridSpan w:val="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1"/>
              </w:rPr>
              <w:t>Signatures</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top w:val="single" w:sz="8" w:color="0000EE"/>
              <w:bottom w:val="single" w:sz="8" w:color="CCEEFF"/>
            </w:tcBorders>
            <w:shd w:val="clear" w:color="auto" w:fill="CCEEFF"/>
          </w:tcPr>
          <w:p>
            <w:pPr>
              <w:spacing w:after="0"/>
              <w:rPr>
                <w:sz w:val="15"/>
                <w:szCs w:val="15"/>
                <w:color w:val="auto"/>
              </w:rPr>
            </w:pPr>
          </w:p>
        </w:tc>
        <w:tc>
          <w:tcPr>
            <w:tcW w:w="120" w:type="dxa"/>
            <w:vAlign w:val="bottom"/>
            <w:tcBorders>
              <w:top w:val="single" w:sz="8" w:color="0000EE"/>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360" w:type="dxa"/>
            <w:vAlign w:val="bottom"/>
            <w:tcBorders>
              <w:top w:val="single" w:sz="8" w:color="0000EE"/>
              <w:bottom w:val="single" w:sz="8" w:color="CCEEFF"/>
            </w:tcBorders>
            <w:shd w:val="clear" w:color="auto" w:fill="CCEEFF"/>
          </w:tcPr>
          <w:p>
            <w:pPr>
              <w:spacing w:after="0"/>
              <w:rPr>
                <w:sz w:val="15"/>
                <w:szCs w:val="15"/>
                <w:color w:val="auto"/>
              </w:rPr>
            </w:pPr>
          </w:p>
        </w:tc>
        <w:tc>
          <w:tcPr>
            <w:tcW w:w="200" w:type="dxa"/>
            <w:vAlign w:val="bottom"/>
            <w:tcBorders>
              <w:top w:val="single" w:sz="8" w:color="0000EE"/>
              <w:left w:val="single" w:sz="8" w:color="CCEEFF"/>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8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61</w:t>
            </w: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1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94"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This Annual Report on Form 10-K (the “Annual Report”) contains statements that constitute forward-looking statements. Many of the forward-looking statements contained in this Annual Report can be identified by the use of forward-looking words such as “anticipate,” “believe,” “could,” “expect,” “should,” “plan,” “intend,” “may,” “predict,” “continue,” “estimate” and “potential,” or the negative of these terms or other similar expressions.</w:t>
      </w:r>
    </w:p>
    <w:p>
      <w:pPr>
        <w:spacing w:after="0" w:line="159"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Forward-looking statements appear in a number of places in this Annual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 Item 1A. – Risk Factors,” of this Annual Report. The statements we make regarding the following matters are forward-looking by their nature:</w:t>
      </w:r>
    </w:p>
    <w:p>
      <w:pPr>
        <w:spacing w:after="0" w:line="166" w:lineRule="exact"/>
        <w:rPr>
          <w:sz w:val="20"/>
          <w:szCs w:val="20"/>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re-establish profitable operations, raise additional capital or renegotiate our debt arrangements;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growth prospects and strategies;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new games and additional functionality to games that are commercially successful;</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significant drivers of our future growth;</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and increase our player base and develop new video games and enhance our existing games;</w:t>
      </w:r>
    </w:p>
    <w:p>
      <w:pPr>
        <w:spacing w:after="0" w:line="192"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from companies in a number of industries, including other casual game developers and publishers and both large and small, public and private multimedia companies;</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a qualified management team and other team members while controlling our labor costs;</w:t>
      </w:r>
    </w:p>
    <w:p>
      <w:pPr>
        <w:spacing w:after="0" w:line="192"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relationships with third-party platforms such as Xbox Live and Game Pass, PlayStation Network, Steam, Epic Games Store, the Apple App Store, the Google Play Store, My Nintendo Store and the Amazon Appstore;</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enter new markets and manage our international expansion;</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protecting and developing our brand and intellectual property portfolio;</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defending intellectual property infringement and other claims;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business development, results of operations and financial condition;</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rulings by courts or other governmental authorities;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Share Repurchase Program (as defined below), including expectations regarding the timing and manner of repurchases made under the Share Repurchase Program;</w:t>
      </w:r>
    </w:p>
    <w:p>
      <w:pPr>
        <w:spacing w:after="0" w:line="203" w:lineRule="exact"/>
        <w:rPr>
          <w:rFonts w:ascii="Times New Roman" w:cs="Times New Roman" w:eastAsia="Times New Roman" w:hAnsi="Times New Roman"/>
          <w:sz w:val="15"/>
          <w:szCs w:val="15"/>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to pursue and successfully integrate strategic acquisitions;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and uncertainties described in this Annual Report, including those described in Item 1A of Part I, “Risk Factors”; and</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assumptions underlying any of the foregoing.</w:t>
      </w:r>
    </w:p>
    <w:p>
      <w:pPr>
        <w:spacing w:after="0" w:line="192"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Further information on risks, uncertainties and other factors that could affect our financial results are included in our filings with the United States Securities and Exchange Commission (the “SEC”) from time to time, including in Item 1A of Part I, “Risk Factors,” of this Annual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Annual Report are based on management’s beliefs and assumptions and on information currently available to us as of the date of this filing, and we do not assume any obligation to update the forward-looking statements provided to reflect events that occur or circumstances that exist after the date on which they were made.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1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has been a top-25 selling game on the Steam platform by gross revenue each year we released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downloadable content (“DLC”) and </w:t>
      </w:r>
      <w:r>
        <w:rPr>
          <w:rFonts w:ascii="Times New Roman" w:cs="Times New Roman" w:eastAsia="Times New Roman" w:hAnsi="Times New Roman"/>
          <w:sz w:val="16"/>
          <w:szCs w:val="16"/>
          <w:i w:val="1"/>
          <w:iCs w:val="1"/>
          <w:color w:val="auto"/>
        </w:rPr>
        <w:t xml:space="preserve">ARK: Survival Ascended </w:t>
      </w:r>
      <w:r>
        <w:rPr>
          <w:rFonts w:ascii="Times New Roman" w:cs="Times New Roman" w:eastAsia="Times New Roman" w:hAnsi="Times New Roman"/>
          <w:sz w:val="16"/>
          <w:szCs w:val="16"/>
          <w:color w:val="auto"/>
        </w:rPr>
        <w:t>was a top-20 bestselling game on the Steam platform during its release in October of 2023. Our expertise in technology, in-game ecosystems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is a leader within the sandbox survival genre with over 90.7 million console and PC installs through December 31, 2023. See Item 7 of Part II, “Management’s Discussion and Analysis of Financial Condition and Results of Operations—Key Performance Metrics and Non-GAAP Measures.” In the year ended December 31, 2023,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combined for an average total of 416,479 daily active users (“DAUs”) on the Steam and Epic platforms. We define “daily active users” as the number of unique users who play any given game on any given day. For the years ended December 31, 2023 and 2022, we generated 87.8% and 90.8%, respectively, of our revenues from the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franchise.</w:t>
      </w:r>
    </w:p>
    <w:p>
      <w:pPr>
        <w:spacing w:after="0" w:line="165"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 xml:space="preserve">Our roots trace back to the beginnings of the massively multiplayer online role-playing games (“MMORPG”), with early titles including </w:t>
      </w:r>
      <w:r>
        <w:rPr>
          <w:rFonts w:ascii="Times New Roman" w:cs="Times New Roman" w:eastAsia="Times New Roman" w:hAnsi="Times New Roman"/>
          <w:sz w:val="16"/>
          <w:szCs w:val="16"/>
          <w:i w:val="1"/>
          <w:iCs w:val="1"/>
          <w:color w:val="auto"/>
        </w:rPr>
        <w:t>Age of Wushu</w:t>
      </w:r>
      <w:r>
        <w:rPr>
          <w:rFonts w:ascii="Times New Roman" w:cs="Times New Roman" w:eastAsia="Times New Roman" w:hAnsi="Times New Roman"/>
          <w:sz w:val="16"/>
          <w:szCs w:val="16"/>
          <w:color w:val="auto"/>
        </w:rPr>
        <w:t>. Our long history provides us with substantial experience that we leverage to identify and invest in promising game development studios and to manage the growth of our games into AAA titles. We collaborate with talented development teams, providing our expertise, capital, technological resources, customer service, marketing strategy and other services to achieve a successful outcome.</w:t>
      </w:r>
    </w:p>
    <w:p>
      <w:pPr>
        <w:spacing w:after="0" w:line="163"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optimize our development pipeline and target specific market segments by publishing games under several specialized brands through our two publishing labels, Snail Games USA and Wandering Wizard. Our distribution strategy utilizes Steam’s early access feature (“Early Access”), which allows us to publish a title while it is still in development, to achieve faster go-to-market times. We utilize proprietary technology, including a versatile game engine and advanced server technology, to heighten artistic detail and increase player engagement.</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attribute our continued success to several differentiating elements.</w:t>
      </w:r>
    </w:p>
    <w:p>
      <w:pPr>
        <w:spacing w:after="0" w:line="188"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Perseverance</w:t>
      </w:r>
      <w:r>
        <w:rPr>
          <w:rFonts w:ascii="Times New Roman" w:cs="Times New Roman" w:eastAsia="Times New Roman" w:hAnsi="Times New Roman"/>
          <w:sz w:val="16"/>
          <w:szCs w:val="16"/>
          <w:color w:val="auto"/>
        </w:rPr>
        <w:t>: We are called Snail because we admire a snail’s perseverance in achieving its goals. We maintain a disciplined approach to our game development,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management and strategic acquisitions as we seek to deliver long-term value.</w:t>
      </w:r>
    </w:p>
    <w:p>
      <w:pPr>
        <w:spacing w:after="0" w:line="141"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Innovation</w:t>
      </w:r>
      <w:r>
        <w:rPr>
          <w:rFonts w:ascii="Times New Roman" w:cs="Times New Roman" w:eastAsia="Times New Roman" w:hAnsi="Times New Roman"/>
          <w:sz w:val="16"/>
          <w:szCs w:val="16"/>
          <w:color w:val="auto"/>
        </w:rPr>
        <w:t>: We believe innovation is at the core of a highly engaging entertainment experience. Our titles span from indie to our AAA franchise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created the Wandering Wizard label to allow us to invest and grow indie titles built by bright, passionate teams.</w:t>
      </w:r>
    </w:p>
    <w:p>
      <w:pPr>
        <w:spacing w:after="0" w:line="141"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Technology</w:t>
      </w:r>
      <w:r>
        <w:rPr>
          <w:rFonts w:ascii="Times New Roman" w:cs="Times New Roman" w:eastAsia="Times New Roman" w:hAnsi="Times New Roman"/>
          <w:sz w:val="16"/>
          <w:szCs w:val="16"/>
          <w:color w:val="auto"/>
        </w:rPr>
        <w:t>: We utilize advanced and proprietary technologies to drive demand and optimize costs. The Company is strategically integrating artificial intelligence technology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into our game development process. We will transform our art pipeline with an innovative text to 3D model and pioneer the generation of resources and biomes on a planetary scale. Our proprietary micro-influencer platform,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operated by our subsidiary Eminence Corp, enables us to substantially broaden our influencer base at an advantaged cost, and our game and server technology provide a highly customizable development infrastructure.</w:t>
      </w:r>
    </w:p>
    <w:p>
      <w:pPr>
        <w:spacing w:after="0" w:line="158" w:lineRule="exact"/>
        <w:rPr>
          <w:sz w:val="20"/>
          <w:szCs w:val="20"/>
          <w:color w:val="auto"/>
        </w:rPr>
      </w:pPr>
    </w:p>
    <w:p>
      <w:pPr>
        <w:jc w:val="both"/>
        <w:ind w:firstLine="282"/>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Collaboration</w:t>
      </w:r>
      <w:r>
        <w:rPr>
          <w:rFonts w:ascii="Times New Roman" w:cs="Times New Roman" w:eastAsia="Times New Roman" w:hAnsi="Times New Roman"/>
          <w:sz w:val="16"/>
          <w:szCs w:val="16"/>
          <w:color w:val="auto"/>
        </w:rPr>
        <w:t>: We partner with talented independent studios for game development. Development teams, some of which are our wholly owned subsidiaries, are provided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capital and other critical resources and are afforded a high degree of autonomy. We believe this model best preserves the culture and creativity of the development team and encourages the development of successful games.</w:t>
      </w:r>
    </w:p>
    <w:p>
      <w:pPr>
        <w:spacing w:after="0" w:line="154"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Developers</w:t>
      </w:r>
      <w:r>
        <w:rPr>
          <w:rFonts w:ascii="Times New Roman" w:cs="Times New Roman" w:eastAsia="Times New Roman" w:hAnsi="Times New Roman"/>
          <w:sz w:val="16"/>
          <w:szCs w:val="16"/>
          <w:color w:val="auto"/>
        </w:rPr>
        <w:t>: We believe in the importance of maintaining a broad developer network to ensure the simultaneous development of high-quality games. We have seven internal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development studios and we partner with two related-party development studios from AAA to indie located in the United States and internationally.</w:t>
      </w:r>
    </w:p>
    <w:p>
      <w:pPr>
        <w:spacing w:after="0" w:line="141"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Experience</w:t>
      </w:r>
      <w:r>
        <w:rPr>
          <w:rFonts w:ascii="Times New Roman" w:cs="Times New Roman" w:eastAsia="Times New Roman" w:hAnsi="Times New Roman"/>
          <w:sz w:val="16"/>
          <w:szCs w:val="16"/>
          <w:color w:val="auto"/>
        </w:rPr>
        <w:t>: Our management team has deep knowledge of the gaming landscape based on more than two decades of experience in the gaming industry. Our Founder,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Chairman and Chief Strategy Officer, Mr. Hai Shi, was a pioneer in sandbox and MMORPG games, and our Chief Executive Officer, Jim Tsai, has a deep understanding of game development and publishing with more than 26 years of experience. Our industry experience is foundational to our success in development and publishing and helps us to quickly identify attractive acquisition and partnership opportunities.</w:t>
      </w:r>
    </w:p>
    <w:p>
      <w:pPr>
        <w:spacing w:after="0" w:line="162"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Our dedication to providing audiences with high-quality entertainment experiences utilizing the latest gaming technology has produced strong user engagement, continued revenue growth, and increased cash flows. Through December 31, 2023, our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series games have been played for 3.5 billion hours with an average playing time per user of 163.7 hours and with the top 21.0% of all players spending over 100 hours in the game, according to data from the Steam platform. For the years ended December 31, 2023 and 2022, our net revenue was $60.9 million and $74.4 million, respectively. We have maintained a diversified revenue base across platforms. During fiscal year 2023, approximately 43.7% of our revenue came from consoles, 43.4% from PC and 9.6% from mobile platforms. We had a net loss of $9.1 million for the year ended December 31, 2023 as compared to net income of $1.0 million for the year ended December 31, 2022.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1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92"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 xml:space="preserve">We have robust plans to bolster our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franchise in 2024 with DLCs for existing platforms and an expansion of our offerings on the Nintendo Switch platform. In December 2023, we announced the updated development road map of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which included releases of DLC’s and canon events through 2025. We have a significant upgrade of </w:t>
      </w:r>
      <w:r>
        <w:rPr>
          <w:rFonts w:ascii="Times New Roman" w:cs="Times New Roman" w:eastAsia="Times New Roman" w:hAnsi="Times New Roman"/>
          <w:sz w:val="16"/>
          <w:szCs w:val="16"/>
          <w:i w:val="1"/>
          <w:iCs w:val="1"/>
          <w:color w:val="auto"/>
        </w:rPr>
        <w:t>ARK Mobile</w:t>
      </w:r>
      <w:r>
        <w:rPr>
          <w:rFonts w:ascii="Times New Roman" w:cs="Times New Roman" w:eastAsia="Times New Roman" w:hAnsi="Times New Roman"/>
          <w:sz w:val="16"/>
          <w:szCs w:val="16"/>
          <w:color w:val="auto"/>
        </w:rPr>
        <w:t xml:space="preserve"> planned for the Android and iPhone platforms and the release of a new premium mod service program on PC, PlayStation, and Xbox in the first half of 2024. We have also announced the release of </w:t>
      </w:r>
      <w:r>
        <w:rPr>
          <w:rFonts w:ascii="Times New Roman" w:cs="Times New Roman" w:eastAsia="Times New Roman" w:hAnsi="Times New Roman"/>
          <w:sz w:val="16"/>
          <w:szCs w:val="16"/>
          <w:i w:val="1"/>
          <w:iCs w:val="1"/>
          <w:color w:val="auto"/>
        </w:rPr>
        <w:t>Bellwright</w:t>
      </w:r>
      <w:r>
        <w:rPr>
          <w:rFonts w:ascii="Times New Roman" w:cs="Times New Roman" w:eastAsia="Times New Roman" w:hAnsi="Times New Roman"/>
          <w:sz w:val="16"/>
          <w:szCs w:val="16"/>
          <w:color w:val="auto"/>
        </w:rPr>
        <w:t xml:space="preserve"> in the second quarter of 2024; an open world survival role playing game (“RPG”) based in the feudal period and developed by our wholly owned subsidiary Donkey Crew, LLC (“Donkey Crew”).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Opportunity</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 xml:space="preserve">We serve a large addressable market in a dynamic industry with strong growth tailwinds. Video games are rapidly growing as an entertainment platform on a global scale given the proliferation of mobile devices and numerous vectors of gaming experience. We are well-positioned to capitalize on economic trends in our markets as we own and/or maintain exclusive license rights to valuable intellectual property (“IP”) that can be monetized through various channels across gaming and digital entertainment. We believe that our current market leadership in video games and growing presence in influencer platform through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 is just our beginning.</w:t>
      </w:r>
    </w:p>
    <w:p>
      <w:pPr>
        <w:spacing w:after="0" w:line="16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have developed and invested in various successful sandbox survival titles since 2015. Our video game production quality, our history of franchise success, and our technological leadership have contributed to a deeply engaged, global player community, many members of which continue to purchase DLCs for our existing games and related games published under our brand or co-brands. We also offer the advantage of providing equal accessibility to gamers of all experience levels and demographics for our sandbox survival games, allowing us to maximize audience reach. Furthermore, depending on players’ experience and intensity, our platform gives players the flexibility to play on our servers, user-created servers, or private servers, which allows us to target a wider range of gamers and lower operating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Value Proposition</w:t>
      </w:r>
    </w:p>
    <w:p>
      <w:pPr>
        <w:spacing w:after="0" w:line="190"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Value proposition for gamers</w:t>
      </w:r>
      <w:r>
        <w:rPr>
          <w:rFonts w:ascii="Times New Roman" w:cs="Times New Roman" w:eastAsia="Times New Roman" w:hAnsi="Times New Roman"/>
          <w:sz w:val="16"/>
          <w:szCs w:val="16"/>
          <w:color w:val="auto"/>
        </w:rPr>
        <w:t>: We aim to provide high-quality entertainment experience to end users. We strive to create the best game play experience for gamers by offering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frequent new content and endless game play possibility as key value propositions to our players.</w:t>
      </w:r>
    </w:p>
    <w:p>
      <w:pPr>
        <w:spacing w:after="0" w:line="141" w:lineRule="exact"/>
        <w:rPr>
          <w:sz w:val="20"/>
          <w:szCs w:val="20"/>
          <w:color w:val="auto"/>
        </w:rPr>
      </w:pPr>
    </w:p>
    <w:p>
      <w:pPr>
        <w:jc w:val="both"/>
        <w:ind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New Content</w:t>
      </w:r>
      <w:r>
        <w:rPr>
          <w:rFonts w:ascii="Times New Roman" w:cs="Times New Roman" w:eastAsia="Times New Roman" w:hAnsi="Times New Roman"/>
          <w:sz w:val="16"/>
          <w:szCs w:val="16"/>
          <w:color w:val="auto"/>
        </w:rPr>
        <w:t>: We continuously incorporate feedback from players to improve existing games and build expansion packs, which are released periodically. DLCs offer gamers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familiar game play in a new virtual world with a different fantasy twist from dinosaurs to Sci-Fi.</w:t>
      </w:r>
    </w:p>
    <w:p>
      <w:pPr>
        <w:spacing w:after="0" w:line="141" w:lineRule="exact"/>
        <w:rPr>
          <w:sz w:val="20"/>
          <w:szCs w:val="20"/>
          <w:color w:val="auto"/>
        </w:rPr>
      </w:pPr>
    </w:p>
    <w:p>
      <w:pPr>
        <w:jc w:val="both"/>
        <w:ind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Endless Possibility</w:t>
      </w:r>
      <w:r>
        <w:rPr>
          <w:rFonts w:ascii="Times New Roman" w:cs="Times New Roman" w:eastAsia="Times New Roman" w:hAnsi="Times New Roman"/>
          <w:sz w:val="16"/>
          <w:szCs w:val="16"/>
          <w:color w:val="auto"/>
        </w:rPr>
        <w:t>: Our games provide hours of entertainment with features that permit dynamic environmental changes of the virtual world, user-directed conquests,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cooperative or competitive gameplay with other users. Our sandbox games provide players with freedom, without the rules found in other genres such as racing games.</w:t>
      </w:r>
    </w:p>
    <w:p>
      <w:pPr>
        <w:spacing w:after="0" w:line="141" w:lineRule="exact"/>
        <w:rPr>
          <w:sz w:val="20"/>
          <w:szCs w:val="20"/>
          <w:color w:val="auto"/>
        </w:rPr>
      </w:pPr>
    </w:p>
    <w:p>
      <w:pPr>
        <w:jc w:val="both"/>
        <w:ind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Value proposition for developers</w:t>
      </w:r>
      <w:r>
        <w:rPr>
          <w:rFonts w:ascii="Times New Roman" w:cs="Times New Roman" w:eastAsia="Times New Roman" w:hAnsi="Times New Roman"/>
          <w:sz w:val="16"/>
          <w:szCs w:val="16"/>
          <w:color w:val="auto"/>
        </w:rPr>
        <w:t>: Our business model is dependent on partnerships with developers, and we offer key value propositions of collaborative partnership, culture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innovation and technology to our developers.</w:t>
      </w:r>
    </w:p>
    <w:p>
      <w:pPr>
        <w:spacing w:after="0" w:line="141"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Value proposition for creators: </w:t>
      </w:r>
      <w:r>
        <w:rPr>
          <w:rFonts w:ascii="Times New Roman" w:cs="Times New Roman" w:eastAsia="Times New Roman" w:hAnsi="Times New Roman"/>
          <w:sz w:val="16"/>
          <w:szCs w:val="16"/>
          <w:color w:val="auto"/>
        </w:rPr>
        <w:t>In the first quarter of 2024 the Company has launched its premium modding program through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will allow</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publishing of modified content to the PC, Xbox and PlayStation platforms. This is revolutionary as these platforms were previously locked for modified content. Our proprietary technology will allow capable developers familiar with the cutting-edge Unreal Engine 5 to publish their creations onto console platforms with the click of a button. The premium mods program for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represents a forward-thinking approach to community engagement and rewards creators with an industry leading 50% share of the revenue generated.</w:t>
      </w:r>
    </w:p>
    <w:p>
      <w:pPr>
        <w:spacing w:after="0" w:line="159" w:lineRule="exact"/>
        <w:rPr>
          <w:sz w:val="20"/>
          <w:szCs w:val="20"/>
          <w:color w:val="auto"/>
        </w:rPr>
      </w:pPr>
    </w:p>
    <w:p>
      <w:pPr>
        <w:jc w:val="both"/>
        <w:ind w:firstLine="282"/>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Collaborative Partnership</w:t>
      </w:r>
      <w:r>
        <w:rPr>
          <w:rFonts w:ascii="Times New Roman" w:cs="Times New Roman" w:eastAsia="Times New Roman" w:hAnsi="Times New Roman"/>
          <w:sz w:val="16"/>
          <w:szCs w:val="16"/>
          <w:color w:val="auto"/>
        </w:rPr>
        <w:t>: We provide capital, technological resources, customer service, marketing strategy and other services to our video game development partners.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strategize with developers to customize marketing campaigns tailored to target markets. Our founder also provides developers with creative and other advice based on his deep expertise in the industry.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6" w:name="page7"/>
    <w:bookmarkEnd w:id="6"/>
    <w:p>
      <w:pPr>
        <w:jc w:val="both"/>
        <w:ind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Culture of Innovation</w:t>
      </w:r>
      <w:r>
        <w:rPr>
          <w:rFonts w:ascii="Times New Roman" w:cs="Times New Roman" w:eastAsia="Times New Roman" w:hAnsi="Times New Roman"/>
          <w:sz w:val="16"/>
          <w:szCs w:val="16"/>
          <w:color w:val="auto"/>
        </w:rPr>
        <w:t>: We believe high-quality experiences result from a combination of forward thinking and fearless creativity. We encourage our development teams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experiment with emerging technologies and unique fantasy twists.</w:t>
      </w:r>
    </w:p>
    <w:p>
      <w:pPr>
        <w:spacing w:after="0" w:line="141"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Technology</w:t>
      </w:r>
      <w:r>
        <w:rPr>
          <w:rFonts w:ascii="Times New Roman" w:cs="Times New Roman" w:eastAsia="Times New Roman" w:hAnsi="Times New Roman"/>
          <w:sz w:val="16"/>
          <w:szCs w:val="16"/>
          <w:color w:val="auto"/>
        </w:rPr>
        <w:t>: Our developers have access to our advanced development infrastructure as well as our proprietary technology including our micro-influencer technology,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helps brands engage with previously untapped small- to mid-sized influencers.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Platform</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Our strategic flywheel is anchored by our dedication to delivering high-quality, compelling entertainment experiences and is driven by our capabilities in publishing, developing and creating proprietary technology. Growth in the number of published titles allows us to invest in new development teams and proprietary technology, which expand the number of titles we publish in a self-reinforcing loop. As the quality of our games increases, we are well-positioned to attract more users and more influencers. With increased influencers through our propriety micro-influencer platform,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 we are able to reach a broader audience and increase user engagement within our games. This drives additional revenue, which we use to increase our developer network and to build proprietary technology. Our technology, along with our collaborative, innovative culture attracts talented developers, which in turn result in an increased number of high-quality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116205</wp:posOffset>
            </wp:positionV>
            <wp:extent cx="4261485" cy="20148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148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Publishing</w:t>
      </w:r>
      <w:r>
        <w:rPr>
          <w:rFonts w:ascii="Times New Roman" w:cs="Times New Roman" w:eastAsia="Times New Roman" w:hAnsi="Times New Roman"/>
          <w:sz w:val="16"/>
          <w:szCs w:val="16"/>
          <w:color w:val="auto"/>
        </w:rPr>
        <w:t>: We derive the majority of our revenue from titles we offer through licensing and publishing agreements.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franchise is led by our strategic partnership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Studio Wildcard. Our typical publishing cycle includes annual DLC releases for our major franchises, after which we repeat the same publishing cycle to attract new players and continue to entertain our existing players. We seek to bring new fantasy twists and genres to our players with innovative, creative content cultivated from strong partnerships with independent developers and published through our Wandering Wizard label.</w:t>
      </w:r>
    </w:p>
    <w:p>
      <w:pPr>
        <w:spacing w:after="0" w:line="158"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Development</w:t>
      </w:r>
      <w:r>
        <w:rPr>
          <w:rFonts w:ascii="Times New Roman" w:cs="Times New Roman" w:eastAsia="Times New Roman" w:hAnsi="Times New Roman"/>
          <w:sz w:val="16"/>
          <w:szCs w:val="16"/>
          <w:color w:val="auto"/>
        </w:rPr>
        <w:t>: We also develop titles using a partnership approach in which we acquire ownership stakes in independent development teams. We preserve a development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team’s culture by allowing a high degree of autonomy in its operations, which we believe allows development teams to retain their creative license, while also extracting synergies by utilizing our shared resources including customer service and backend functions. Furthermore, we foster a culture of communication where employees at all levels at our partner studios are able to receive direct feedback from our CEO. We partnered with Donkey Crew to produce </w:t>
      </w:r>
      <w:r>
        <w:rPr>
          <w:rFonts w:ascii="Times New Roman" w:cs="Times New Roman" w:eastAsia="Times New Roman" w:hAnsi="Times New Roman"/>
          <w:sz w:val="16"/>
          <w:szCs w:val="16"/>
          <w:i w:val="1"/>
          <w:iCs w:val="1"/>
          <w:color w:val="auto"/>
        </w:rPr>
        <w:t>Last Oasis</w:t>
      </w:r>
      <w:r>
        <w:rPr>
          <w:rFonts w:ascii="Times New Roman" w:cs="Times New Roman" w:eastAsia="Times New Roman" w:hAnsi="Times New Roman"/>
          <w:sz w:val="16"/>
          <w:szCs w:val="16"/>
          <w:color w:val="auto"/>
        </w:rPr>
        <w:t xml:space="preserve">, a nomadic survival massively multiplayer online game (“MMO”) with melee combat conquests, and </w:t>
      </w:r>
      <w:r>
        <w:rPr>
          <w:rFonts w:ascii="Times New Roman" w:cs="Times New Roman" w:eastAsia="Times New Roman" w:hAnsi="Times New Roman"/>
          <w:sz w:val="16"/>
          <w:szCs w:val="16"/>
          <w:i w:val="1"/>
          <w:iCs w:val="1"/>
          <w:color w:val="auto"/>
        </w:rPr>
        <w:t>Bellwright</w:t>
      </w:r>
      <w:r>
        <w:rPr>
          <w:rFonts w:ascii="Times New Roman" w:cs="Times New Roman" w:eastAsia="Times New Roman" w:hAnsi="Times New Roman"/>
          <w:sz w:val="16"/>
          <w:szCs w:val="16"/>
          <w:color w:val="auto"/>
        </w:rPr>
        <w:t>, an open-world survival game set in medieval times and includes town building, resource management and combat strategy.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7" w:name="page8"/>
    <w:bookmarkEnd w:id="7"/>
    <w:p>
      <w:pPr>
        <w:jc w:val="both"/>
        <w:ind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Technology</w:t>
      </w:r>
      <w:r>
        <w:rPr>
          <w:rFonts w:ascii="Times New Roman" w:cs="Times New Roman" w:eastAsia="Times New Roman" w:hAnsi="Times New Roman"/>
          <w:sz w:val="16"/>
          <w:szCs w:val="16"/>
          <w:color w:val="auto"/>
        </w:rPr>
        <w:t>: We are early adopters of the latest technology in our games and develop proprietary technology when necessary to address market opportunities. We maintain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flexible infrastructure to efficiently develop virtual worlds with advanced rendering and atmospheric effects across a wide array of video game types. We developed a proprietary micro-influencer marketing platform,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to help game streamers and game companies reach a wider audience and diversify marketing spend. We work with our developers to create custom campaigns to optimize reach.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Key Strengths</w:t>
      </w:r>
    </w:p>
    <w:p>
      <w:pPr>
        <w:spacing w:after="0" w:line="190"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Top-ranked category defining franchise with a track record of growth</w:t>
      </w:r>
      <w:r>
        <w:rPr>
          <w:rFonts w:ascii="Times New Roman" w:cs="Times New Roman" w:eastAsia="Times New Roman" w:hAnsi="Times New Roman"/>
          <w:sz w:val="16"/>
          <w:szCs w:val="16"/>
          <w:color w:val="auto"/>
        </w:rPr>
        <w:t>: Our dedication to our customers and innovative game development has resulted in our position as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top-ranked, category-defining franchise with a track record of growth. Our flagship franchise,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is a leader within the sandbox survival genre with over 90.7 million console and PC installs through December 31, 2023.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has been a top-25 selling game on the Steam platform by gross revenue each year we released an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DLC and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was a top-20 bestselling game on the Steam platform during its release in October 2023. As of December 31, 2023,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has been played for 3.5 billion hours since its release on the Steam platform.</w:t>
      </w:r>
    </w:p>
    <w:p>
      <w:pPr>
        <w:spacing w:after="0" w:line="159"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Proven expertise in creating successful gaming franchises</w:t>
      </w:r>
      <w:r>
        <w:rPr>
          <w:rFonts w:ascii="Times New Roman" w:cs="Times New Roman" w:eastAsia="Times New Roman" w:hAnsi="Times New Roman"/>
          <w:sz w:val="16"/>
          <w:szCs w:val="16"/>
          <w:color w:val="auto"/>
        </w:rPr>
        <w:t>: We have proven expertise in creating successful gaming franchises. We are a multi-platform publisher with over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14 years of experience in creating culturally influential game titles, while demonstrating financial growth. As of December 31, 2023, we had 27 game titles. By recognizing the lucrative potential of the sandbox survival category at its nascent stages, we became a first mover in the category, and we now license and publish leading IP, including the global franchise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ARK: Survival Ascended, Atlas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Last Oasis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Dark and Light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Outlaws of the Old West</w:t>
      </w:r>
      <w:r>
        <w:rPr>
          <w:rFonts w:ascii="Times New Roman" w:cs="Times New Roman" w:eastAsia="Times New Roman" w:hAnsi="Times New Roman"/>
          <w:sz w:val="16"/>
          <w:szCs w:val="16"/>
          <w:color w:val="auto"/>
        </w:rPr>
        <w:t>. Our approach to the industry is to create a one-size-fits-all game to draw people into the overall sandbox survival genre. In order to retain players, we invest in game quality to generate additional interest, in addition to spending on advertising. Our collaborative relationships with video game development studios, industry leaders, technology providers and distribution platforms allow us to invest in promising video game projects and manage their growth into AAA video games and entertainment franchises. Our approach creates a continuous cycle of monetization opportunities across our gaming portfolio.</w:t>
      </w:r>
    </w:p>
    <w:p>
      <w:pPr>
        <w:spacing w:after="0" w:line="165"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IP portfolio spanning across multiple media formats and technology platforms to captivate end user</w:t>
      </w:r>
      <w:r>
        <w:rPr>
          <w:rFonts w:ascii="Times New Roman" w:cs="Times New Roman" w:eastAsia="Times New Roman" w:hAnsi="Times New Roman"/>
          <w:sz w:val="16"/>
          <w:szCs w:val="16"/>
          <w:color w:val="auto"/>
        </w:rPr>
        <w:t>: We license and own an IP portfolio spanning across multiple media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formats and technology platforms to captivate end users. Our primary use of IP is to generate successful video games within and beyond the sandbox survival genre. Currently, our games are available on Xbox Live and Game Pass, PlayStation Network, Steam, Epic Games Store, the Apple App Store, the Google Play Store, My Nintendo Store and the Amazon Appstore, as well as through traditional retail channels. However, our vision for our valuable IP rights extend far beyond just gaming: our vision extends into media formats such as animation, TV, movies, eSports, and reality TV and interactive media, which we believe has tremendous potential. We have high aspirations across digital media and are poised to enter the animation and television industry with </w:t>
      </w:r>
      <w:r>
        <w:rPr>
          <w:rFonts w:ascii="Times New Roman" w:cs="Times New Roman" w:eastAsia="Times New Roman" w:hAnsi="Times New Roman"/>
          <w:sz w:val="16"/>
          <w:szCs w:val="16"/>
          <w:i w:val="1"/>
          <w:iCs w:val="1"/>
          <w:color w:val="auto"/>
        </w:rPr>
        <w:t>ARK, the Animated Series</w:t>
      </w:r>
      <w:r>
        <w:rPr>
          <w:rFonts w:ascii="Times New Roman" w:cs="Times New Roman" w:eastAsia="Times New Roman" w:hAnsi="Times New Roman"/>
          <w:sz w:val="16"/>
          <w:szCs w:val="16"/>
          <w:color w:val="auto"/>
        </w:rPr>
        <w:t xml:space="preserve"> in 2024.</w:t>
      </w:r>
    </w:p>
    <w:p>
      <w:pPr>
        <w:spacing w:after="0" w:line="16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Collaborative development process between developers and management</w:t>
      </w:r>
      <w:r>
        <w:rPr>
          <w:rFonts w:ascii="Times New Roman" w:cs="Times New Roman" w:eastAsia="Times New Roman" w:hAnsi="Times New Roman"/>
          <w:sz w:val="16"/>
          <w:szCs w:val="16"/>
          <w:color w:val="auto"/>
        </w:rPr>
        <w:t>: We continue to evolve with the industry with our deep pipeline of leading video game franchises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such as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ARK: Survival Ascended, Atlas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Survivor Mercs, Last Oasis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Bellwright, Dark and Light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Outlaws of the Old West</w:t>
      </w:r>
      <w:r>
        <w:rPr>
          <w:rFonts w:ascii="Times New Roman" w:cs="Times New Roman" w:eastAsia="Times New Roman" w:hAnsi="Times New Roman"/>
          <w:sz w:val="16"/>
          <w:szCs w:val="16"/>
          <w:color w:val="auto"/>
        </w:rPr>
        <w:t>. Our success in game development and in keeping up with industry trends is partially attributed to our collaborative relationships with video game development studios, industry leaders, technology providers and distribution platforms. Our cooperative development process provides for a proprietary scalable model to publish multiple AAA video games based on current trends. We are proud of our collaborative relationship with our developers, as we believe it is truly unique in our industry and one of our main differentiators. We offer developers an ecosystem that aligns incentives and creates an environment for creativity to thrive. In addition to wonderful ideas for games, we value partners who share our vision and culture. After a partnership is formed, we offer developers a direct line of communication to Mr. Shi, our Founder, Chairman and Chief Strategy Officer, who is viewed as a pioneer in the video game industry and business world. We offer developers freedom by giving them access to the wide breadth of the Snail platform and resources so they can do what they do best: create.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8" w:name="page9"/>
    <w:bookmarkEnd w:id="8"/>
    <w:p>
      <w:pPr>
        <w:jc w:val="both"/>
        <w:ind w:firstLine="282"/>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Innovative use and creation of next-gen technologies and platforms</w:t>
      </w:r>
      <w:r>
        <w:rPr>
          <w:rFonts w:ascii="Times New Roman" w:cs="Times New Roman" w:eastAsia="Times New Roman" w:hAnsi="Times New Roman"/>
          <w:sz w:val="15"/>
          <w:szCs w:val="15"/>
          <w:color w:val="auto"/>
        </w:rPr>
        <w:t>: We use innovative technology to serve our customers, allowing us to provide high-quality user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experiences and services. Our proprietary video game technology includes a versatile game engine, development pipeline tools, advanced rendering technology and advanced server and network operations, although we also use currently accepted standard industry technologies. Additionally, our customizable development infrastructure provides a framework for efficiently developing all types of video game projects using advanced rendering technologies for realistic lighting, weather and atmospheric effects, for creating new types of virtual assets and for other effects that heighten artistic detail and increase player engagement. Our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premium mod program unlocks the power of Unreal Engine 5 for our player base to create limitless content and rewards their creativity through the most competitive revenue sharing models in the industry. Modders will be able to amplify their reach through this technology by publishing their mods across multiple platforms. Since inception, we have been developing our proprietary engine, Flexi. Unlike mainstream commercial engines, we are developing Flexi to allow us to save on royalty costs and retain ownership of our modifications to engines. We are currently creating an AAA game fully utilizing the Flexi engine to display its advanced capabilities. Most commercial engines are designed for single session games and a small number of concurrent players in a specific geolocation. Our goal with Flexi, however, is to have the capability to handle a greater number of players in a particular area, which can be utilized for larger games with robust user interactions. Our micro-influencer business,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strives to build an influencer marketing platform for brands to directly engage with small to-midsized influencers, through which influencers can reach millions of video game consumers and generate additional revenue at a cost advantage.</w:t>
      </w:r>
    </w:p>
    <w:p>
      <w:pPr>
        <w:spacing w:after="0" w:line="151"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Visionary management team well versed in industry and business</w:t>
      </w:r>
      <w:r>
        <w:rPr>
          <w:rFonts w:ascii="Times New Roman" w:cs="Times New Roman" w:eastAsia="Times New Roman" w:hAnsi="Times New Roman"/>
          <w:sz w:val="16"/>
          <w:szCs w:val="16"/>
          <w:color w:val="auto"/>
        </w:rPr>
        <w:t>: We attribute much of our success to our visionary senior management and business development teams,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have a deep understanding of games and global video markets and aim to build innovative products for gamers. Our Founder, Chairman and Chief Strategy Officer, Mr. Shi, is also the founder and Chief Executive Officer of Suzhou Snail Digital Technology Co., Ltd. (“Suzhou Snail”), a related party, and is a pioneer in the video game industry and the sandbox survival genre. Mr. Shi is responsible for our overall vision, which has included adapting our business model for the global markets, focusing on premium games and investing in video game development and publishing in North America and Europe. Our Chief Executive Officer, Jim Tsai, has 26 years of experience developing and publishing video games in both Asia and the United States. Our founder and other members of our management and business development teams are seasoned gamers, who lead and provide insight into gaming development from a first-hand user’s perspective. We operate in an ecosystem in which our leaders employ a hands-on approach, as each developer is able to get direct contact with our founder and receive one-on-one feedback and mentorship.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9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Continue to grow our successful </w:t>
      </w:r>
      <w:r>
        <w:rPr>
          <w:rFonts w:ascii="Times New Roman" w:cs="Times New Roman" w:eastAsia="Times New Roman" w:hAnsi="Times New Roman"/>
          <w:sz w:val="16"/>
          <w:szCs w:val="16"/>
          <w:b w:val="1"/>
          <w:bCs w:val="1"/>
          <w:color w:val="auto"/>
        </w:rPr>
        <w:t>ARK</w:t>
      </w:r>
      <w:r>
        <w:rPr>
          <w:rFonts w:ascii="Times New Roman" w:cs="Times New Roman" w:eastAsia="Times New Roman" w:hAnsi="Times New Roman"/>
          <w:sz w:val="16"/>
          <w:szCs w:val="16"/>
          <w:b w:val="1"/>
          <w:bCs w:val="1"/>
          <w:i w:val="1"/>
          <w:iCs w:val="1"/>
          <w:color w:val="auto"/>
        </w:rPr>
        <w:t xml:space="preserve"> franchise</w:t>
      </w:r>
      <w:r>
        <w:rPr>
          <w:rFonts w:ascii="Times New Roman" w:cs="Times New Roman" w:eastAsia="Times New Roman" w:hAnsi="Times New Roman"/>
          <w:sz w:val="16"/>
          <w:szCs w:val="16"/>
          <w:color w:val="auto"/>
        </w:rPr>
        <w:t>: As one of the most creative and innovative companies in our industry, our primary strategy is to capitalize on our franchise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and focus on delivering unique games and content, offering services that extend and enhance the experience, and connecting more players across more platforms. We believe the breadth and depth of our multi-platform, services offerings, and our use of multiple business models and distribution channels provide us with strategic advantages. We have established ourselves as a market leader based on our continued ability to release titles which rank in the top 20 of Steam sales and will continue to enhance our market-leading gaming franchises including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ARK: Survival Ascended, Atlas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Last Oasis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Bellwright, Dark and Light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Outlaws of the Old West</w:t>
      </w:r>
      <w:r>
        <w:rPr>
          <w:rFonts w:ascii="Times New Roman" w:cs="Times New Roman" w:eastAsia="Times New Roman" w:hAnsi="Times New Roman"/>
          <w:sz w:val="16"/>
          <w:szCs w:val="16"/>
          <w:color w:val="auto"/>
        </w:rPr>
        <w:t xml:space="preserve">. We focus on publishing high-quality content, regularly updating our games after launch to encourage social interactions, adding new content and features, and improving monetization. For example, we have released five paid DLCs since the original release of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to support further growth in our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franchise. Furthermore, we have released </w:t>
      </w:r>
      <w:r>
        <w:rPr>
          <w:rFonts w:ascii="Times New Roman" w:cs="Times New Roman" w:eastAsia="Times New Roman" w:hAnsi="Times New Roman"/>
          <w:sz w:val="16"/>
          <w:szCs w:val="16"/>
          <w:i w:val="1"/>
          <w:iCs w:val="1"/>
          <w:color w:val="auto"/>
        </w:rPr>
        <w:t>ARK: Survival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Ascended </w:t>
      </w:r>
      <w:r>
        <w:rPr>
          <w:rFonts w:ascii="Times New Roman" w:cs="Times New Roman" w:eastAsia="Times New Roman" w:hAnsi="Times New Roman"/>
          <w:sz w:val="16"/>
          <w:szCs w:val="16"/>
          <w:color w:val="auto"/>
        </w:rPr>
        <w:t>to revolutionize the</w:t>
      </w:r>
      <w:r>
        <w:rPr>
          <w:rFonts w:ascii="Times New Roman" w:cs="Times New Roman" w:eastAsia="Times New Roman" w:hAnsi="Times New Roman"/>
          <w:sz w:val="16"/>
          <w:szCs w:val="16"/>
          <w:i w:val="1"/>
          <w:iCs w:val="1"/>
          <w:color w:val="auto"/>
        </w:rPr>
        <w:t xml:space="preserve"> ARK </w:t>
      </w:r>
      <w:r>
        <w:rPr>
          <w:rFonts w:ascii="Times New Roman" w:cs="Times New Roman" w:eastAsia="Times New Roman" w:hAnsi="Times New Roman"/>
          <w:sz w:val="16"/>
          <w:szCs w:val="16"/>
          <w:color w:val="auto"/>
        </w:rPr>
        <w:t>experience for our players through leveraging the</w:t>
      </w:r>
      <w:r>
        <w:rPr>
          <w:rFonts w:ascii="Times New Roman" w:cs="Times New Roman" w:eastAsia="Times New Roman" w:hAnsi="Times New Roman"/>
          <w:sz w:val="16"/>
          <w:szCs w:val="16"/>
          <w:i w:val="1"/>
          <w:iCs w:val="1"/>
          <w:color w:val="auto"/>
        </w:rPr>
        <w:t xml:space="preserve"> Unreal 5 </w:t>
      </w:r>
      <w:r>
        <w:rPr>
          <w:rFonts w:ascii="Times New Roman" w:cs="Times New Roman" w:eastAsia="Times New Roman" w:hAnsi="Times New Roman"/>
          <w:sz w:val="16"/>
          <w:szCs w:val="16"/>
          <w:color w:val="auto"/>
        </w:rPr>
        <w:t>engine and have implemented thorough quality of life revamps in all aspects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game.</w:t>
      </w:r>
    </w:p>
    <w:p>
      <w:pPr>
        <w:spacing w:after="0" w:line="163" w:lineRule="exact"/>
        <w:rPr>
          <w:sz w:val="20"/>
          <w:szCs w:val="20"/>
          <w:color w:val="auto"/>
        </w:rPr>
      </w:pPr>
    </w:p>
    <w:p>
      <w:pPr>
        <w:jc w:val="both"/>
        <w:ind w:firstLine="282"/>
        <w:spacing w:after="0" w:line="267" w:lineRule="auto"/>
        <w:rPr>
          <w:sz w:val="20"/>
          <w:szCs w:val="20"/>
          <w:color w:val="auto"/>
        </w:rPr>
      </w:pPr>
      <w:r>
        <w:rPr>
          <w:rFonts w:ascii="Times New Roman" w:cs="Times New Roman" w:eastAsia="Times New Roman" w:hAnsi="Times New Roman"/>
          <w:sz w:val="15"/>
          <w:szCs w:val="15"/>
          <w:b w:val="1"/>
          <w:bCs w:val="1"/>
          <w:i w:val="1"/>
          <w:iCs w:val="1"/>
          <w:color w:val="auto"/>
        </w:rPr>
        <w:t>Continue to build a strong pipeline of new content via Snail Games USA and our independent label, Wandering Wizard</w:t>
      </w:r>
      <w:r>
        <w:rPr>
          <w:rFonts w:ascii="Times New Roman" w:cs="Times New Roman" w:eastAsia="Times New Roman" w:hAnsi="Times New Roman"/>
          <w:sz w:val="15"/>
          <w:szCs w:val="15"/>
          <w:color w:val="auto"/>
        </w:rPr>
        <w:t>: Building on our strong established franchises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creating new franchises through compelling new content is at the core of our business. We are always seeking ways to expand our portfolio of franchises, launching new intellectual property or rolling out innovative platforms for gamers to remain engaged and have a unique experience. We endeavor to reach as many consumers as possible by offering our content on multiple platforms and delivering compelling experiences across multiple business models. Currently, we have five console and PC games under development that are expected to be released in the next five years. Our independent label, Wandering Wizard, allows us to publish independent games of different graphical quality and different genres at a lower acquisition cost while utilizing our proven development and distribution strategies. Titles published under Wandering Wizard include </w:t>
      </w:r>
      <w:r>
        <w:rPr>
          <w:rFonts w:ascii="Times New Roman" w:cs="Times New Roman" w:eastAsia="Times New Roman" w:hAnsi="Times New Roman"/>
          <w:sz w:val="15"/>
          <w:szCs w:val="15"/>
          <w:i w:val="1"/>
          <w:iCs w:val="1"/>
          <w:color w:val="auto"/>
        </w:rPr>
        <w:t>West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Hunt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Expedition Agartha and Survivor Mercs</w:t>
      </w:r>
      <w:r>
        <w:rPr>
          <w:rFonts w:ascii="Times New Roman" w:cs="Times New Roman" w:eastAsia="Times New Roman" w:hAnsi="Times New Roman"/>
          <w:sz w:val="15"/>
          <w:szCs w:val="15"/>
          <w:color w:val="auto"/>
        </w:rPr>
        <w:t>. In addition to spending on advertising, we invest in the research and development of new games as a form of marketing to increase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our exposure. We believe that utilizing resources in this manner allows us to better leverage our areas of developmental expertise before launching a title. Each new game serves as an opportunity to market ourselves, expose audiences to the sandbox survival genre, engage with existing players, and monetize our platform’s full breadth of opportunities.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9" w:name="page10"/>
    <w:bookmarkEnd w:id="9"/>
    <w:p>
      <w:pPr>
        <w:jc w:val="both"/>
        <w:ind w:firstLine="282"/>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Continue to expand </w:t>
      </w:r>
      <w:r>
        <w:rPr>
          <w:rFonts w:ascii="Times New Roman" w:cs="Times New Roman" w:eastAsia="Times New Roman" w:hAnsi="Times New Roman"/>
          <w:sz w:val="16"/>
          <w:szCs w:val="16"/>
          <w:b w:val="1"/>
          <w:bCs w:val="1"/>
          <w:color w:val="auto"/>
        </w:rPr>
        <w:t>NOIZ,</w:t>
      </w:r>
      <w:r>
        <w:rPr>
          <w:rFonts w:ascii="Times New Roman" w:cs="Times New Roman" w:eastAsia="Times New Roman" w:hAnsi="Times New Roman"/>
          <w:sz w:val="16"/>
          <w:szCs w:val="16"/>
          <w:b w:val="1"/>
          <w:bCs w:val="1"/>
          <w:i w:val="1"/>
          <w:iCs w:val="1"/>
          <w:color w:val="auto"/>
        </w:rPr>
        <w:t xml:space="preserve"> our micro-influencer marketing business, and use the platform to bolster our marketing initiatives and eCommerce revenue</w:t>
      </w:r>
      <w:r>
        <w:rPr>
          <w:rFonts w:ascii="Times New Roman" w:cs="Times New Roman" w:eastAsia="Times New Roman" w:hAnsi="Times New Roman"/>
          <w:sz w:val="16"/>
          <w:szCs w:val="16"/>
          <w:color w:val="auto"/>
        </w:rPr>
        <w:t>: We are focused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on reaching more players whenever and wherever they want to play. We believe that we can add value to our network by utilizing content creators and micro-influencers to connect to a world of play by offering an interactive platform for players to engage in. We created our proprietary, full-service marketing platform,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 where we have direct relationships with influencers and save on third-party costs.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 helps aspiring game streamers and game companies reach a wider audience, diversify marketing spend and income streams, and build their own brands easily and professionally at a large scale. Influencers can join the platform and play for free over a three day period.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 provides speed and payment to influencers, in addition to speed in the execution of marketing campaigns since no large scale agencies are involved.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 benefits all of our marketing and promotional initiatives and serves as a source of eCommerce revenue.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 is designed so that clients can choose to work on campaigns on their own or directly with our creative campaign managers in an end-to-end managed campaign process, with 24/7 support, by paying a fee. The management team at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 is comprised of eSports and gaming industry veterans and has worked with clients such as Square Enix, Sega, Stunlock Studios, Facebook, Sansar, TikTok, Bose, Softgiving, and Omaze.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 directly contributes to our video game growth because each influencer’s stream of our games to their followers is a sales opportunity. Micro- and macro-influencers have taken advantage of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’s unique program, through which they receive a portion of the revenue from the video games they help sell. Through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we can also collect data used to analyze new trends and self-market our products.</w:t>
      </w:r>
    </w:p>
    <w:p>
      <w:pPr>
        <w:spacing w:after="0" w:line="163"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Continue investing in new technologies and platforms to efficiently capitalize on emerging trends</w:t>
      </w:r>
      <w:r>
        <w:rPr>
          <w:rFonts w:ascii="Times New Roman" w:cs="Times New Roman" w:eastAsia="Times New Roman" w:hAnsi="Times New Roman"/>
          <w:sz w:val="16"/>
          <w:szCs w:val="16"/>
          <w:color w:val="auto"/>
        </w:rPr>
        <w:t>: We provide a variety of digitally delivered products and games that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played online and on mobile platforms, such as tablets and smartphones; as such, there are various opportunities for us to grow and enhance profitability. We will continue investing in new distribution channels such as medias of streaming, animation, television and eSports as opportunities in platform distribution as well as DLCs arise to expand our reach and grow our business. We invest in the development of interactive entertainment products for new distribution channels, which incorporate a new technology or business model that enables us to compete more effectively against our peers. For our future games, we ultimately aim to build a metaverse in which users can create their own gameplay content and interact in a virtual world with other players over a secured network. We intend to build our metaverse using our Flexi engine, which will allow for better data management and hosting of significantly more players per server. We intend to hold competitions where players can submit created content and receive rewards, with the potential of incorporation into a new map as DLC with the assistance of our development team. We are constantly evaluating and investigating the growth of AI in our development pipeline. As we follow the technology, we will adapt emerging technologies and make investments in them that we expect to deliver returns, while retaining a hand crafted experience from our products.</w:t>
      </w:r>
    </w:p>
    <w:p>
      <w:pPr>
        <w:spacing w:after="0" w:line="16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Scale our operations through international market expansion and strategic acquisitions</w:t>
      </w:r>
      <w:r>
        <w:rPr>
          <w:rFonts w:ascii="Times New Roman" w:cs="Times New Roman" w:eastAsia="Times New Roman" w:hAnsi="Times New Roman"/>
          <w:sz w:val="16"/>
          <w:szCs w:val="16"/>
          <w:color w:val="auto"/>
        </w:rPr>
        <w:t>: In line with our growth strategy, we plan to complete acquisitions to expand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gaming offerings, obtain talent, and expand into new markets. We continue to evaluate strategic acquisition opportunities in areas such as studios, publishers, and agencies. We may also pursue joint ventures or establish subsidiaries with strategic partners as well as make investments in interactive gaming and entertainment business as part of our long-term business strategy. The global market for interactive entertainment continues to grow, and we seek to increase our presence internationally, particularly in South America, where video game demand is expected to increase as the region advances in technology. We have existing relationships and customers in South America which we hope will continue to grow. We retain licensing rights to our intellectual properties in certain regions and intend to build on our existing licensing relationships and also continue to expand on license distribution strategies to grow our international business. As a result, we are actively exploring international strategic opportunities that fit our needs and culture. We also intend to release a Spanish version of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expand publishing in South America, increase public relations and game announcements in the region, and grow our number of Spanish translators. We also seek to expand our licensing opportunities to new platforms and other geographies. We are continuing to execute on our growth initiatives, where our strategy is to broaden the distribution of our licensing opportunities. We intend to continue to build on our licensing relationships and also continue to expand on distribution strategies to grow our business. Furthermore, the growth and development of electronic commerce will enable us to explore more licensing opportunities across various geographic regions.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Our Games</w:t>
      </w:r>
    </w:p>
    <w:p>
      <w:pPr>
        <w:spacing w:after="0" w:line="192"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b w:val="1"/>
          <w:bCs w:val="1"/>
          <w:color w:val="auto"/>
        </w:rPr>
        <w:t>ARK: Survival Evolved</w:t>
      </w:r>
      <w:r>
        <w:rPr>
          <w:rFonts w:ascii="Times New Roman" w:cs="Times New Roman" w:eastAsia="Times New Roman" w:hAnsi="Times New Roman"/>
          <w:sz w:val="16"/>
          <w:szCs w:val="16"/>
          <w:color w:val="auto"/>
        </w:rPr>
        <w:t>: is an action-adventure survival sandbox game set in an open-world environment with a dynamic day-night cycle. Players must survive being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stranded on an island filled with roaming dinosaurs and other prehistoric animals, natural hazards, and potentially hostile human players. The game released to Early Access in June 2015 and to retail in August 2017. The game was ranked #1 by market share within the sandbox survival genre, based on Steam sales, within one year of its release to Early Access. The game supports consoles (PS4, PS5, Xbox One, Xbox Series X/S, and Nintendo Switch), PCs and mobile (Android, iOS). We developed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in partnership with Studio Wildcard, and have released five expansion packs, or DLCs.</w:t>
      </w:r>
    </w:p>
    <w:p>
      <w:pPr>
        <w:spacing w:after="0" w:line="162" w:lineRule="exact"/>
        <w:rPr>
          <w:sz w:val="20"/>
          <w:szCs w:val="20"/>
          <w:color w:val="auto"/>
        </w:rPr>
      </w:pPr>
    </w:p>
    <w:p>
      <w:pPr>
        <w:ind w:left="840" w:hanging="282"/>
        <w:spacing w:after="0"/>
        <w:tabs>
          <w:tab w:leader="none" w:pos="8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Scorched Earth</w:t>
      </w:r>
      <w:r>
        <w:rPr>
          <w:rFonts w:ascii="Times New Roman" w:cs="Times New Roman" w:eastAsia="Times New Roman" w:hAnsi="Times New Roman"/>
          <w:sz w:val="16"/>
          <w:szCs w:val="16"/>
          <w:color w:val="auto"/>
        </w:rPr>
        <w:t>. A desert map with minimum water and extreme weathers. The DLC was released on September 2016.</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Aberration</w:t>
      </w:r>
      <w:r>
        <w:rPr>
          <w:rFonts w:ascii="Times New Roman" w:cs="Times New Roman" w:eastAsia="Times New Roman" w:hAnsi="Times New Roman"/>
          <w:sz w:val="16"/>
          <w:szCs w:val="16"/>
          <w:color w:val="auto"/>
        </w:rPr>
        <w:t>. A radiation style expansion pack to explore the mysterious underground world. The DLC was released on December 2017.</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Extinction</w:t>
      </w:r>
      <w:r>
        <w:rPr>
          <w:rFonts w:ascii="Times New Roman" w:cs="Times New Roman" w:eastAsia="Times New Roman" w:hAnsi="Times New Roman"/>
          <w:sz w:val="16"/>
          <w:szCs w:val="16"/>
          <w:color w:val="auto"/>
        </w:rPr>
        <w:t>. A mechanical style expansion pack themed to fight against giant titans and save the post-apocalyptic earth. The DLC was released on November 2018.</w:t>
      </w:r>
    </w:p>
    <w:p>
      <w:pPr>
        <w:spacing w:after="0" w:line="192" w:lineRule="exact"/>
        <w:rPr>
          <w:rFonts w:ascii="Times New Roman" w:cs="Times New Roman" w:eastAsia="Times New Roman" w:hAnsi="Times New Roman"/>
          <w:sz w:val="16"/>
          <w:szCs w:val="16"/>
          <w:color w:val="auto"/>
        </w:rPr>
      </w:pPr>
    </w:p>
    <w:p>
      <w:pPr>
        <w:ind w:left="840" w:right="20" w:hanging="282"/>
        <w:spacing w:after="0" w:line="273" w:lineRule="auto"/>
        <w:tabs>
          <w:tab w:leader="none" w:pos="8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Genesis 1 &amp; 2</w:t>
      </w:r>
      <w:r>
        <w:rPr>
          <w:rFonts w:ascii="Times New Roman" w:cs="Times New Roman" w:eastAsia="Times New Roman" w:hAnsi="Times New Roman"/>
          <w:sz w:val="16"/>
          <w:szCs w:val="16"/>
          <w:color w:val="auto"/>
        </w:rPr>
        <w:t>. A mission-based gameplay DLC with the ability to explore new worlds and mysterious stories. The DLCs were released in February 2020 and in June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2021, respectively.</w:t>
      </w:r>
    </w:p>
    <w:p>
      <w:pPr>
        <w:spacing w:after="0" w:line="146"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ARK: Survival Ascended: </w:t>
      </w:r>
      <w:r>
        <w:rPr>
          <w:rFonts w:ascii="Times New Roman" w:cs="Times New Roman" w:eastAsia="Times New Roman" w:hAnsi="Times New Roman"/>
          <w:sz w:val="16"/>
          <w:szCs w:val="16"/>
          <w:color w:val="auto"/>
        </w:rPr>
        <w:t>uses the latest in videogame technology, Unreal Engine 5 (“UE5”), to deliver the next evolution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franchise.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reimagined from the ground up with updated artwork, high end graphics, new physics systems and quality of life revamps in every area of the game.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also includes cross-platform multiplayer and modding capabilities. Players who purchase the game can currently access the island and will also receive access to the other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worlds such as </w:t>
      </w:r>
      <w:r>
        <w:rPr>
          <w:rFonts w:ascii="Times New Roman" w:cs="Times New Roman" w:eastAsia="Times New Roman" w:hAnsi="Times New Roman"/>
          <w:sz w:val="16"/>
          <w:szCs w:val="16"/>
          <w:i w:val="1"/>
          <w:iCs w:val="1"/>
          <w:color w:val="auto"/>
        </w:rPr>
        <w:t>Scorched Earth, Aberration, Extinction, ARK Genesis Parts 1 and 2</w:t>
      </w:r>
      <w:r>
        <w:rPr>
          <w:rFonts w:ascii="Times New Roman" w:cs="Times New Roman" w:eastAsia="Times New Roman" w:hAnsi="Times New Roman"/>
          <w:sz w:val="16"/>
          <w:szCs w:val="16"/>
          <w:color w:val="auto"/>
        </w:rPr>
        <w:t xml:space="preserve"> and more. The game currently supports consoles and PCs and was developed in partnership with Studio Wildcard and Grove Street Games.</w:t>
      </w:r>
    </w:p>
    <w:p>
      <w:pPr>
        <w:spacing w:after="0" w:line="162"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b w:val="1"/>
          <w:bCs w:val="1"/>
          <w:color w:val="auto"/>
        </w:rPr>
        <w:t>Bellwright</w:t>
      </w:r>
      <w:r>
        <w:rPr>
          <w:rFonts w:ascii="Times New Roman" w:cs="Times New Roman" w:eastAsia="Times New Roman" w:hAnsi="Times New Roman"/>
          <w:sz w:val="16"/>
          <w:szCs w:val="16"/>
          <w:color w:val="auto"/>
        </w:rPr>
        <w:t>: Developed in connection with our wholly owned subsidiary, Donkey Crew, Bellwright is an open-world strategy survival game based in the medieval period.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game offers a compelling blend of survival, strategy, combat, and town building in a richly imagined world. Players are challenged to build, sustain, and defend their town against the elements and adversaries all while building a rebellion force to take on the crown. We expect Bellwright to launch in Early Access in the second quarter of 2024.</w:t>
      </w:r>
    </w:p>
    <w:p>
      <w:pPr>
        <w:spacing w:after="0" w:line="157"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b w:val="1"/>
          <w:bCs w:val="1"/>
          <w:color w:val="auto"/>
        </w:rPr>
        <w:t>Last Oasis</w:t>
      </w:r>
      <w:r>
        <w:rPr>
          <w:rFonts w:ascii="Times New Roman" w:cs="Times New Roman" w:eastAsia="Times New Roman" w:hAnsi="Times New Roman"/>
          <w:sz w:val="16"/>
          <w:szCs w:val="16"/>
          <w:color w:val="auto"/>
        </w:rPr>
        <w:t>: Developed in connection with our wholly owned subsidiary, Donkey Crew,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Last Oasis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a Nomadic Survival MMO with a focus on player versus player (“PvP”),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clan warfare and social interactions. Set in the unique world where the Earth has stopped rotating, the last human survivors need to outrun the scorching Sun using giant wind walkers to avoid the ever moving cloud of magic mist. The game was released by Early Access on March 2020, and currently supports consoles (Xbox One and Xbox Series X/S) and PCs.</w:t>
      </w:r>
    </w:p>
    <w:p>
      <w:pPr>
        <w:spacing w:after="0" w:line="161"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b w:val="1"/>
          <w:bCs w:val="1"/>
          <w:color w:val="auto"/>
        </w:rPr>
        <w:t>Atlas</w:t>
      </w:r>
      <w:r>
        <w:rPr>
          <w:rFonts w:ascii="Times New Roman" w:cs="Times New Roman" w:eastAsia="Times New Roman" w:hAnsi="Times New Roman"/>
          <w:sz w:val="16"/>
          <w:szCs w:val="16"/>
          <w:color w:val="auto"/>
        </w:rPr>
        <w:t>: Developed in partnership with Grapeshot Games,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Atlas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a pirate themed sandbox survival game. The game features a massive world, using the latest network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technology, allowing for an infinite array of islands to explore and inhabit as the players see fit. The game was released by Early Access on December 2018 and supports consoles (Xbox One, Xbox Series X/S) and PCs.</w:t>
      </w:r>
    </w:p>
    <w:p>
      <w:pPr>
        <w:spacing w:after="0" w:line="157"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b w:val="1"/>
          <w:bCs w:val="1"/>
          <w:color w:val="auto"/>
        </w:rPr>
        <w:t>PixARK</w:t>
      </w:r>
      <w:r>
        <w:rPr>
          <w:rFonts w:ascii="Times New Roman" w:cs="Times New Roman" w:eastAsia="Times New Roman" w:hAnsi="Times New Roman"/>
          <w:sz w:val="16"/>
          <w:szCs w:val="16"/>
          <w:color w:val="auto"/>
        </w:rPr>
        <w:t>: is an open-world, voxel type, survival sandbox game. To survive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PixARK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world players must tame creatures, craft high tech and magical tools and build their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bases using cubes. The game has a robust character creator, an infinite number of voxel-based maps and procedurally generated quests making every </w:t>
      </w:r>
      <w:r>
        <w:rPr>
          <w:rFonts w:ascii="Times New Roman" w:cs="Times New Roman" w:eastAsia="Times New Roman" w:hAnsi="Times New Roman"/>
          <w:sz w:val="16"/>
          <w:szCs w:val="16"/>
          <w:i w:val="1"/>
          <w:iCs w:val="1"/>
          <w:color w:val="auto"/>
        </w:rPr>
        <w:t>PixARK</w:t>
      </w:r>
      <w:r>
        <w:rPr>
          <w:rFonts w:ascii="Times New Roman" w:cs="Times New Roman" w:eastAsia="Times New Roman" w:hAnsi="Times New Roman"/>
          <w:sz w:val="16"/>
          <w:szCs w:val="16"/>
          <w:color w:val="auto"/>
        </w:rPr>
        <w:t xml:space="preserve"> adventure unique to the player. Players can play on their own or band together to form tribes. The game was released by Early Access on Microsoft Windows and Xbox One, then in 2019 the full version was launched on Steam, PlayStation 4 and Nintendo Switch.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Technology</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 xml:space="preserve">We employ industry standard game engines for the majority of our games, which allows flexibility and accelerated game development. Our proprietary code modifies the game engines to fit the needs and features of our games as necessary, and for franchises like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we are able to leverage that proprietary code in the development of new DLCs for existing games and development of entirely new games. We retain ownership of all code developed for our proprietary engine, Flexi, which is currently being used to develop certain games in our pipeline with the expectation of launching to external developers in the near future.</w:t>
      </w:r>
    </w:p>
    <w:p>
      <w:pPr>
        <w:spacing w:after="0" w:line="162"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color w:val="auto"/>
        </w:rPr>
        <w:t xml:space="preserve">We offer an industry-leading micro-influencer platform,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 through which influencers can connect with brands in need. We continue to make technological enhancements to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with a focus on streamlining the process to connect brands with influencers, and facilitating and simplifying the agreements that need to be executed between the two parties.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Our Competition</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interactive entertainment market is highly competitive and evolves rapidly as new games, content and features are introduced. We compete with other interactive entertainment companies such as Activision Blizzard, Inc., Electronic Arts Inc., Take-Two Interactive, Zynga, Ubisoft, Epic Games, Tencent, Netmarble, Sony, Microsoft and Nintendo primarily for game development on consoles, PCs and mobile devices. Across the sandbox survival game genre, we primarily compete with Embracer Group, Saber Group, Enand Global 7, FunCom, Axolot Games, and Facepunch Studios. We also face competition from other independent developer studios. Important factors in the video game development and publishing industries include innovation, creative and technical talent, game quality, brand recognition, platform compatibility, pricing, accessibility to distribution channels and customer service.</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Our micro-influencer platform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 competes against other growth-stage companies in the space, such as Lurkit and Rainmaker Collective.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broader competitors include other providers of digital entertainment, such as film, television, social networking, streaming and music.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Matters</w:t>
      </w:r>
    </w:p>
    <w:p>
      <w:pPr>
        <w:spacing w:after="0" w:line="194"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are subject to various federal, state and international laws and regulations that affect companies conducting business on the Internet and mobile platforms, including those relating to privacy, use and protection of player and employee personal information and data (including the collection of data from minors), the Internet, behavioral tracking, mobile application, content, advertising and marketing activities (including sweepstakes, contests and giveaways) and anti-corruption.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players and deliver products and services, which significantly increase our compliance costs. As our business expands to include new uses or collection of data that are subject to privacy or security regulations and our operations continue to expand across the globe, our compliance requirements and costs will increase and we may be subject to increased regulatory scrutiny.</w:t>
      </w:r>
    </w:p>
    <w:p>
      <w:pPr>
        <w:spacing w:after="0" w:line="168"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For more information regarding risks relating to data privacy and security, see Item 1A of Part I, “Risk Factors — Risks Related to Legal or Regulatory Compliance —  Changing data privacy and security laws and regulations in the jurisdictions in which we or our consumers do business could increase the cost of our operations and subject us to possible sanctions, civil lawsuits (including class action or similar representative lawsuits) and other penalties; such laws and regulations are continually evolving. Our platform and service providers’ actual or perceived failure to comply with these laws and regulations could harm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Similar to other interactive entertainment companies, our business is significantly dependent on the creation, acquisition, use and protection of intellectual property. Some of this intellectual property is in the form of software code, other technology, and trade secrets that we use to run our games. Other intellectual property includes copyrighted audio-visual elements that consumers can see, hear, and interact with when they are playing our games. Most of the intellectual property we use is licensed to us by third-party game developers. We obtain such intellectual property rights through licenses and service agreements, and such licenses may limit our use of such intellectual property to specific uses and for specific time periods. We seek to advance and maintain our business through both a combination of licensed and owned intellectual property.</w:t>
      </w:r>
    </w:p>
    <w:p>
      <w:pPr>
        <w:spacing w:after="0" w:line="16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 xml:space="preserve">As of December 31, 2023, we owned the following trademarks related to the business: 15 registered trademarks in the United States and two registered trademarks in non-U.S. jurisdictions. As of December 31, 2023, we did not have any pending trademark registration applications. As of December 31, 2023, we owned nine registered United States copyrights. As of December 31, 2023, we did not have any issued U.S. design patents and one pending U.S. design patent application through one of our subsidiaries, which is scheduled to expire in 2033, assuming payment of all appropriate maintenance, renewal, annuity or other governmental fees. Additionally, we have registered domain names for websites that we use in our business, such as </w:t>
      </w:r>
      <w:r>
        <w:rPr>
          <w:rFonts w:ascii="Times New Roman" w:cs="Times New Roman" w:eastAsia="Times New Roman" w:hAnsi="Times New Roman"/>
          <w:sz w:val="16"/>
          <w:szCs w:val="16"/>
          <w:i w:val="1"/>
          <w:iCs w:val="1"/>
          <w:color w:val="auto"/>
        </w:rPr>
        <w:t>snailgamesusa.com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playark.com.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12" w:name="page13"/>
    <w:bookmarkEnd w:id="12"/>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 xml:space="preserve">A majority of our revenue is derived from licensed intellectual property, such as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We license the intellectual property underlying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from SDE Inc. (“SDE”), the parent company of Studio Wildcard. SDE is controlled by the spouse of Mr. Shi, our Founder, Chairman and Chief Strategy Officer. We entered into an original exclusive software license agreement with SDE in November 2015, for the rights to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subsequently amended and restated such agreement on September 20, 2022 (the “ARK1 License Agreement”). Pursuant to the ARK1 License Agreement, we obtained an exclusive worldwide license to publish and sell </w:t>
      </w:r>
      <w:r>
        <w:rPr>
          <w:rFonts w:ascii="Times New Roman" w:cs="Times New Roman" w:eastAsia="Times New Roman" w:hAnsi="Times New Roman"/>
          <w:sz w:val="15"/>
          <w:szCs w:val="15"/>
          <w:i w:val="1"/>
          <w:iCs w:val="1"/>
          <w:color w:val="auto"/>
        </w:rPr>
        <w:t>ARK: Survival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Evolved</w:t>
      </w:r>
      <w:r>
        <w:rPr>
          <w:rFonts w:ascii="Times New Roman" w:cs="Times New Roman" w:eastAsia="Times New Roman" w:hAnsi="Times New Roman"/>
          <w:sz w:val="15"/>
          <w:szCs w:val="15"/>
          <w:color w:val="auto"/>
        </w:rPr>
        <w:t>, and we owe SDE monthly payments of $1.5 million, a 25% royalty on</w:t>
      </w:r>
      <w:r>
        <w:rPr>
          <w:rFonts w:ascii="Times New Roman" w:cs="Times New Roman" w:eastAsia="Times New Roman" w:hAnsi="Times New Roman"/>
          <w:sz w:val="15"/>
          <w:szCs w:val="15"/>
          <w:i w:val="1"/>
          <w:iCs w:val="1"/>
          <w:color w:val="auto"/>
        </w:rPr>
        <w:t xml:space="preserve"> ARK: Survival Evolved </w:t>
      </w:r>
      <w:r>
        <w:rPr>
          <w:rFonts w:ascii="Times New Roman" w:cs="Times New Roman" w:eastAsia="Times New Roman" w:hAnsi="Times New Roman"/>
          <w:sz w:val="15"/>
          <w:szCs w:val="15"/>
          <w:color w:val="auto"/>
        </w:rPr>
        <w:t>revenue, as well as one-time payments of $5.0 million for each additional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DLC developed pursuant to the ARK1 License Agreement. The ARK1 License Agreement imposes obligations on us to, among other things, maintain servers and websites, promote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pay all necessary game engine fees and take commercially reasonable efforts to protect the game from piracy and hacking. The initial term of the ARK1 License Agreement continues until December 31, 2035, and will renew automatically for three-year terms unless terminated by either party with 365 days’ prior written notice. The ARK1 License Agreement also contains a right of first refusal for any offer to acquire all or any part of SDE’s business on terms consistent with such offer. Pursuant to the ARK1 License Agreement, payments made by us to SDE for any derivative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game (such as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shall be credited against our payment obligations under the ARK1 License Agreement. In December 2022, we amended the ARK1 License Agreement. The license fee has been restructured so that we will pay 45% of total revenue of </w:t>
      </w:r>
      <w:r>
        <w:rPr>
          <w:rFonts w:ascii="Times New Roman" w:cs="Times New Roman" w:eastAsia="Times New Roman" w:hAnsi="Times New Roman"/>
          <w:sz w:val="15"/>
          <w:szCs w:val="15"/>
          <w:i w:val="1"/>
          <w:iCs w:val="1"/>
          <w:color w:val="auto"/>
        </w:rPr>
        <w:t>ARK I</w:t>
      </w:r>
      <w:r>
        <w:rPr>
          <w:rFonts w:ascii="Times New Roman" w:cs="Times New Roman" w:eastAsia="Times New Roman" w:hAnsi="Times New Roman"/>
          <w:sz w:val="15"/>
          <w:szCs w:val="15"/>
          <w:color w:val="auto"/>
        </w:rPr>
        <w:t xml:space="preserve"> as a royalty instead of the $1.5 million monthly fee plus 25% of the total </w:t>
      </w:r>
      <w:r>
        <w:rPr>
          <w:rFonts w:ascii="Times New Roman" w:cs="Times New Roman" w:eastAsia="Times New Roman" w:hAnsi="Times New Roman"/>
          <w:sz w:val="15"/>
          <w:szCs w:val="15"/>
          <w:i w:val="1"/>
          <w:iCs w:val="1"/>
          <w:color w:val="auto"/>
        </w:rPr>
        <w:t>ARK I</w:t>
      </w:r>
      <w:r>
        <w:rPr>
          <w:rFonts w:ascii="Times New Roman" w:cs="Times New Roman" w:eastAsia="Times New Roman" w:hAnsi="Times New Roman"/>
          <w:sz w:val="15"/>
          <w:szCs w:val="15"/>
          <w:color w:val="auto"/>
        </w:rPr>
        <w:t xml:space="preserve"> revenue once the sequel,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is publicly released.</w:t>
      </w:r>
    </w:p>
    <w:p>
      <w:pPr>
        <w:spacing w:after="0" w:line="159" w:lineRule="exact"/>
        <w:rPr>
          <w:sz w:val="20"/>
          <w:szCs w:val="20"/>
          <w:color w:val="auto"/>
        </w:rPr>
      </w:pPr>
    </w:p>
    <w:p>
      <w:pPr>
        <w:jc w:val="both"/>
        <w:ind w:firstLine="282"/>
        <w:spacing w:after="0" w:line="277" w:lineRule="auto"/>
        <w:rPr>
          <w:sz w:val="20"/>
          <w:szCs w:val="20"/>
          <w:color w:val="auto"/>
        </w:rPr>
      </w:pPr>
      <w:r>
        <w:rPr>
          <w:rFonts w:ascii="Times New Roman" w:cs="Times New Roman" w:eastAsia="Times New Roman" w:hAnsi="Times New Roman"/>
          <w:sz w:val="15"/>
          <w:szCs w:val="15"/>
          <w:color w:val="auto"/>
        </w:rPr>
        <w:t xml:space="preserve">On April 27, 2022, upon payment of $5.0 million, we entered into an agreement with SDE securing our rights to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(“ARK II License Agreement”), on terms similar to the ARK1 License Agreement, with an initial term continuing until December 31, 2037. Pursuant to the ARK II License Agreement, once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has commercially launched, we will begin making monthly payments of $1.5 million, a 25% royalty on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and one-time payments of $5.0 million for each additional DLC developed pursuant to the ARK II License Agreement. The $5.0 million up-front payment will be credited against any future monthly payments to SDE under the ARK II License Agreement.</w:t>
      </w:r>
    </w:p>
    <w:p>
      <w:pPr>
        <w:spacing w:after="0" w:line="14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In March 2023, we amended the ARK1 License Agreement with SDE to include DLC prepayments. The Company will prepay a maximum of $5.0 million for each DLC, in whole or in part, in advance of a DLC release. No payment with respect to any DLC will exceed $5.0 million. In October 2023, we made an additional amendment to the ARK1 License Agreement to clarify the delineation of the </w:t>
      </w:r>
      <w:r>
        <w:rPr>
          <w:rFonts w:ascii="Times New Roman" w:cs="Times New Roman" w:eastAsia="Times New Roman" w:hAnsi="Times New Roman"/>
          <w:sz w:val="16"/>
          <w:szCs w:val="16"/>
          <w:i w:val="1"/>
          <w:iCs w:val="1"/>
          <w:color w:val="auto"/>
        </w:rPr>
        <w:t>ARK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ARK 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monthly license fees, royalty percentages for each, and applicability of the $5.0 million DLC payments. Following the launch date of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we will pay a monthly license fee of $2.0 million, which will be terminated upon the public release of </w:t>
      </w:r>
      <w:r>
        <w:rPr>
          <w:rFonts w:ascii="Times New Roman" w:cs="Times New Roman" w:eastAsia="Times New Roman" w:hAnsi="Times New Roman"/>
          <w:sz w:val="16"/>
          <w:szCs w:val="16"/>
          <w:i w:val="1"/>
          <w:iCs w:val="1"/>
          <w:color w:val="auto"/>
        </w:rPr>
        <w:t>ARK II.</w:t>
      </w:r>
      <w:r>
        <w:rPr>
          <w:rFonts w:ascii="Times New Roman" w:cs="Times New Roman" w:eastAsia="Times New Roman" w:hAnsi="Times New Roman"/>
          <w:sz w:val="16"/>
          <w:szCs w:val="16"/>
          <w:color w:val="auto"/>
        </w:rPr>
        <w:t xml:space="preserve"> The $2.0 million monthly license fee replaces the $1.5 million monthly license fee we were previously paying for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Additionally, following the launch of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we will pay 25% of the total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revenues as a monthly royalty and 40% of the total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revenue as a monthly royalty. The previously released 5 DLCs, mini-packs or add-ons to the 5 DLCs and any non-canonical maps on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are not subject to DLC payments required under the existing agreement. In 2023 and 2022, we incurred $19.1 million and $18.0 million, respectively, in license costs and $14.1 million and $16.4 million, respectively, in royalty costs pursuant to the ARK1 License Agreement.</w:t>
      </w:r>
    </w:p>
    <w:p>
      <w:pPr>
        <w:spacing w:after="0" w:line="168"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In addition to our primary licenses for the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franchise, we are also party to other licensing agreements with Suzhou Snail, relating to the intellectual property for our mobile games. Under these license agreements, we receive an exclusive, sublicensable license to use, publish, distribute, market, operate and service games from third parties. The license agreements call for the developers to develop a certain number of titles for us, while we are responsible for the operation and launch of such games including the marketing, strategy, billing, and server maintenance for such games. In these agreements, payment terms will frequently include royalty payments to developers in the low to mid double-digit percentages range and will occasionally include up-front licensing payments. Under these agreements, the developer will own all of the intellectual property, and the agreements can be terminated for breach with a period to cure, for insolvency, or for our nonpayment. In 2023 and 2022, we accrued $0.3 million and $0.4 million, respectively, in license costs, which we record as accounts payable - related party.</w:t>
      </w:r>
    </w:p>
    <w:p>
      <w:pPr>
        <w:spacing w:after="0" w:line="165" w:lineRule="exact"/>
        <w:rPr>
          <w:sz w:val="20"/>
          <w:szCs w:val="20"/>
          <w:color w:val="auto"/>
        </w:rPr>
      </w:pPr>
    </w:p>
    <w:p>
      <w:pPr>
        <w:jc w:val="both"/>
        <w:ind w:right="20" w:firstLine="282"/>
        <w:spacing w:after="0" w:line="283" w:lineRule="auto"/>
        <w:rPr>
          <w:sz w:val="20"/>
          <w:szCs w:val="20"/>
          <w:color w:val="auto"/>
        </w:rPr>
      </w:pPr>
      <w:r>
        <w:rPr>
          <w:rFonts w:ascii="Times New Roman" w:cs="Times New Roman" w:eastAsia="Times New Roman" w:hAnsi="Times New Roman"/>
          <w:sz w:val="15"/>
          <w:szCs w:val="15"/>
          <w:color w:val="auto"/>
        </w:rPr>
        <w:t>Further, our products that play on consoles and mobile platforms include technology that is owned by the platform provider and is licensed non-exclusively to us for use in the relevant product. We also license technology from providers other than console manufacturers in developing our content and services. While we may have renewal rights for some licenses, our business is dependent on our ability to continue to obtain the intellectual property rights from the owners of these rights on reasonable terms and at reasonable rates.</w:t>
      </w:r>
    </w:p>
    <w:p>
      <w:pPr>
        <w:spacing w:after="0" w:line="142" w:lineRule="exact"/>
        <w:rPr>
          <w:sz w:val="20"/>
          <w:szCs w:val="20"/>
          <w:color w:val="auto"/>
        </w:rPr>
      </w:pPr>
    </w:p>
    <w:p>
      <w:pPr>
        <w:jc w:val="both"/>
        <w:ind w:firstLine="282"/>
        <w:spacing w:after="0" w:line="276" w:lineRule="auto"/>
        <w:rPr>
          <w:sz w:val="20"/>
          <w:szCs w:val="20"/>
          <w:color w:val="auto"/>
        </w:rPr>
      </w:pPr>
      <w:r>
        <w:rPr>
          <w:rFonts w:ascii="Times New Roman" w:cs="Times New Roman" w:eastAsia="Times New Roman" w:hAnsi="Times New Roman"/>
          <w:sz w:val="15"/>
          <w:szCs w:val="15"/>
          <w:color w:val="auto"/>
        </w:rPr>
        <w:t>We are actively engaged in enforcement of our copyright, trademark, patent and trade secret rights against potential infringers of those rights along with other protective activities, including monitoring online channels for distribution of pirated copies and participating in various enforcement initiatives, education programs, and legislative activity around the world. For our PC products, we use technological protection measures to prevent piracy and the use of unauthorized copies of our products. For other platforms, the platform providers typically incorporate technological protections and other security measures in their platforms to prevent the use of unlicensed products on those platforms.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more information regarding risks relating to intellectual property, see Item 1A of Part I, “Risk Factors — Risks Related to Intellectual Property.”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Facilities</w:t>
      </w:r>
    </w:p>
    <w:p>
      <w:pPr>
        <w:spacing w:after="0" w:line="194" w:lineRule="exact"/>
        <w:rPr>
          <w:sz w:val="20"/>
          <w:szCs w:val="20"/>
          <w:color w:val="auto"/>
        </w:rPr>
      </w:pPr>
    </w:p>
    <w:p>
      <w:pPr>
        <w:jc w:val="both"/>
        <w:ind w:firstLine="282"/>
        <w:spacing w:after="0" w:line="283" w:lineRule="auto"/>
        <w:rPr>
          <w:sz w:val="20"/>
          <w:szCs w:val="20"/>
          <w:color w:val="auto"/>
        </w:rPr>
      </w:pPr>
      <w:r>
        <w:rPr>
          <w:rFonts w:ascii="Times New Roman" w:cs="Times New Roman" w:eastAsia="Times New Roman" w:hAnsi="Times New Roman"/>
          <w:sz w:val="15"/>
          <w:szCs w:val="15"/>
          <w:color w:val="auto"/>
        </w:rPr>
        <w:t>Our principal executive office, which we own, is located at 12049 Jefferson Boulevard, Culver City, California 90230. Certain debt agreements are secured by our principal executive offices. We also lease additional facilities to support our operations. We believe our existing facilities are sufficient for our current needs. We may add new facilities and expand our existing facilities as we add employees and expand into new locations. We believe suitable additional space will be available as needed to accommodate our needs.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Resources</w:t>
      </w:r>
    </w:p>
    <w:p>
      <w:pPr>
        <w:spacing w:after="0" w:line="194"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5"/>
          <w:szCs w:val="15"/>
          <w:color w:val="auto"/>
        </w:rPr>
        <w:t>As of December 31, 2023, we had 97 full-time employees worldwide, of whom approximately 79% are based in North America and approximately 21% are based in Europe, the Middle East and Africa (“EMEA”) region. We have approximately 58% of our employees dedicated to technology and content development, 8% to marketing and 34% to general administration. We do not have any part-time employees, nor do we have any unions or collective bargaining agreements with any of our employees. We work to identify, attract and retain employees who are aligned with and will help us progress towards our mission, and we seek to provide competitive cash and equity compensation.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9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Snail Games USA, Inc. (“Snail Games USA”) was incorporated in the State of California on September 22, 2009. Snail, Inc. (“Snail”) was incorporated in the State of Delaware on January 11, 2022. Concurrently with our initial public offering in November 2022, Snail and Snail Games USA consummated transactions, as a result of which, (i) Snail became a holding company, with its principal asset consisting of all of the shares of common stock of Snail Games USA and (ii) Snail controls the business and affairs of Snail Games USA and its subsidiaries.</w:t>
      </w:r>
    </w:p>
    <w:p>
      <w:pPr>
        <w:spacing w:after="0" w:line="164"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 xml:space="preserve">Our principal executive office is located at 12049 Jefferson Boulevard, Culver City, California 90230. Our telephone number at this address is (310) 988-0643. Our main website is </w:t>
      </w:r>
      <w:r>
        <w:rPr>
          <w:rFonts w:ascii="Times New Roman" w:cs="Times New Roman" w:eastAsia="Times New Roman" w:hAnsi="Times New Roman"/>
          <w:sz w:val="16"/>
          <w:szCs w:val="16"/>
          <w:i w:val="1"/>
          <w:iCs w:val="1"/>
          <w:color w:val="auto"/>
        </w:rPr>
        <w:t>https://investor.snail.com/</w:t>
      </w:r>
      <w:r>
        <w:rPr>
          <w:rFonts w:ascii="Times New Roman" w:cs="Times New Roman" w:eastAsia="Times New Roman" w:hAnsi="Times New Roman"/>
          <w:sz w:val="16"/>
          <w:szCs w:val="16"/>
          <w:color w:val="auto"/>
        </w:rPr>
        <w:t>. The information contained in, or accessible through, our website is not incorporated by reference in, and should not be considered part of, this Annual Report.</w:t>
      </w:r>
    </w:p>
    <w:p>
      <w:pPr>
        <w:spacing w:after="0" w:line="159" w:lineRule="exact"/>
        <w:rPr>
          <w:sz w:val="20"/>
          <w:szCs w:val="20"/>
          <w:color w:val="auto"/>
        </w:rPr>
      </w:pPr>
    </w:p>
    <w:p>
      <w:pPr>
        <w:jc w:val="both"/>
        <w:ind w:firstLine="282"/>
        <w:spacing w:after="0" w:line="226" w:lineRule="auto"/>
        <w:rPr>
          <w:sz w:val="20"/>
          <w:szCs w:val="20"/>
          <w:color w:val="auto"/>
        </w:rPr>
      </w:pPr>
      <w:r>
        <w:rPr>
          <w:rFonts w:ascii="Times New Roman" w:cs="Times New Roman" w:eastAsia="Times New Roman" w:hAnsi="Times New Roman"/>
          <w:sz w:val="16"/>
          <w:szCs w:val="16"/>
          <w:color w:val="auto"/>
        </w:rPr>
        <w:t xml:space="preserve">We have proprietary rights to trademarks, trade names and service marks appearing in this Annual Report that are important to our business. Solely for convenience, the trademarks, trade names and service marks may appear in this Annual Report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symbols, but any such references are not intended to indicate, in any way, that we forgo or will not assert, to the fullest extent under applicable law, our rights or the rights of the applicable licensors to these trademarks, trade names and service marks. All trademarks, trade names and service marks appearing in this Annual Report are the property of their respective owners.</w:t>
      </w:r>
    </w:p>
    <w:p>
      <w:pPr>
        <w:spacing w:after="0" w:line="17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We make our Annual Reports on Form 10-K, Quarterly Reports on Form 10-Q, Current Reports on Form 8-K, and amendments to those reports, available free of charge at our website as soon as reasonably practicable after they have been filed with the SEC.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9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A description of the risks and uncertainties associated with our business is set forth below. You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 the following:</w:t>
      </w:r>
    </w:p>
    <w:p>
      <w:pPr>
        <w:spacing w:after="0" w:line="162" w:lineRule="exact"/>
        <w:rPr>
          <w:sz w:val="20"/>
          <w:szCs w:val="20"/>
          <w:color w:val="auto"/>
        </w:rPr>
      </w:pPr>
    </w:p>
    <w:p>
      <w:pPr>
        <w:ind w:left="840" w:right="20" w:hanging="282"/>
        <w:spacing w:after="0" w:line="273"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are dependent on the future success of our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franchise, and we must continue to publish “hit” titles or sequels to such “hit” titles in order to compete successfully in our industry.</w:t>
      </w:r>
    </w:p>
    <w:p>
      <w:pPr>
        <w:spacing w:after="0" w:line="147" w:lineRule="exact"/>
        <w:rPr>
          <w:rFonts w:ascii="Times New Roman" w:cs="Times New Roman" w:eastAsia="Times New Roman" w:hAnsi="Times New Roman"/>
          <w:sz w:val="16"/>
          <w:szCs w:val="16"/>
          <w:color w:val="auto"/>
        </w:rPr>
      </w:pPr>
    </w:p>
    <w:p>
      <w:pPr>
        <w:ind w:left="840" w:hanging="282"/>
        <w:spacing w:after="0" w:line="270"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do not consistently deliver popular, high-quality content in a timely manner, if we are not successful in meaningfully expanding our existing franchise, or if consumers prefer products from our competitors, our business may be negatively impacted.</w:t>
      </w:r>
    </w:p>
    <w:p>
      <w:pPr>
        <w:spacing w:after="0" w:line="148" w:lineRule="exact"/>
        <w:rPr>
          <w:rFonts w:ascii="Times New Roman" w:cs="Times New Roman" w:eastAsia="Times New Roman" w:hAnsi="Times New Roman"/>
          <w:sz w:val="16"/>
          <w:szCs w:val="16"/>
          <w:color w:val="auto"/>
        </w:rPr>
      </w:pPr>
    </w:p>
    <w:p>
      <w:pPr>
        <w:jc w:val="both"/>
        <w:ind w:left="840" w:hanging="282"/>
        <w:spacing w:after="0" w:line="259"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rely on license agreements to publish certain games, including games in our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spacing w:after="0" w:line="158"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our key management and product development personnel.</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management team has limited experience managing a public company.</w:t>
      </w:r>
    </w:p>
    <w:p>
      <w:pPr>
        <w:spacing w:after="0" w:line="192" w:lineRule="exact"/>
        <w:rPr>
          <w:rFonts w:ascii="Times New Roman" w:cs="Times New Roman" w:eastAsia="Times New Roman" w:hAnsi="Times New Roman"/>
          <w:sz w:val="16"/>
          <w:szCs w:val="16"/>
          <w:color w:val="auto"/>
        </w:rPr>
      </w:pPr>
    </w:p>
    <w:p>
      <w:pPr>
        <w:ind w:left="840" w:right="20" w:hanging="282"/>
        <w:spacing w:after="0" w:line="270"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is subject to the risks of earthquakes, fire, floods, public health crises and other natural catastrophes and to interruption by man-made problems such as power disruptions, computer viruses, data security breaches or other incidents or terrorism.</w:t>
      </w:r>
    </w:p>
    <w:p>
      <w:pPr>
        <w:spacing w:after="0" w:line="150" w:lineRule="exact"/>
        <w:rPr>
          <w:rFonts w:ascii="Times New Roman" w:cs="Times New Roman" w:eastAsia="Times New Roman" w:hAnsi="Times New Roman"/>
          <w:sz w:val="16"/>
          <w:szCs w:val="16"/>
          <w:color w:val="auto"/>
        </w:rPr>
      </w:pPr>
    </w:p>
    <w:p>
      <w:pPr>
        <w:ind w:left="840" w:hanging="282"/>
        <w:spacing w:after="0" w:line="270"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industry is subject to rapid technological change, and if we do not adapt to, and appropriately allocate our resources among, emerging technologies and business models, our business may be negatively impacted.</w:t>
      </w:r>
    </w:p>
    <w:p>
      <w:pPr>
        <w:spacing w:after="0" w:line="150" w:lineRule="exact"/>
        <w:rPr>
          <w:rFonts w:ascii="Times New Roman" w:cs="Times New Roman" w:eastAsia="Times New Roman" w:hAnsi="Times New Roman"/>
          <w:sz w:val="16"/>
          <w:szCs w:val="16"/>
          <w:color w:val="auto"/>
        </w:rPr>
      </w:pPr>
    </w:p>
    <w:p>
      <w:pPr>
        <w:jc w:val="both"/>
        <w:ind w:left="840" w:hanging="282"/>
        <w:spacing w:after="0" w:line="258"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third-party platforms, such as Xbox Live and Game Pass, PlayStation Network, Steam, Epic Games Store, the Apple App Store, the Google Play Store, My Nintendo Store and the Amazon Appstore, to distribute our games and collect revenues generated on such platforms and rely on third-party payment service providers to collect revenues generated on our own platforms.</w:t>
      </w:r>
    </w:p>
    <w:p>
      <w:pPr>
        <w:spacing w:after="0" w:line="158" w:lineRule="exact"/>
        <w:rPr>
          <w:rFonts w:ascii="Times New Roman" w:cs="Times New Roman" w:eastAsia="Times New Roman" w:hAnsi="Times New Roman"/>
          <w:sz w:val="16"/>
          <w:szCs w:val="16"/>
          <w:color w:val="auto"/>
        </w:rPr>
      </w:pPr>
    </w:p>
    <w:p>
      <w:pPr>
        <w:ind w:left="840" w:right="20" w:hanging="282"/>
        <w:spacing w:after="0" w:line="270"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servers and networks to operate our games with online features. If we were to lose functionality in any of these areas for any reason, our business may be negatively impacted.</w:t>
      </w:r>
    </w:p>
    <w:p>
      <w:pPr>
        <w:spacing w:after="0" w:line="150" w:lineRule="exact"/>
        <w:rPr>
          <w:rFonts w:ascii="Times New Roman" w:cs="Times New Roman" w:eastAsia="Times New Roman" w:hAnsi="Times New Roman"/>
          <w:sz w:val="16"/>
          <w:szCs w:val="16"/>
          <w:color w:val="auto"/>
        </w:rPr>
      </w:pPr>
    </w:p>
    <w:p>
      <w:pPr>
        <w:ind w:left="840" w:right="20" w:hanging="282"/>
        <w:spacing w:after="0" w:line="270" w:lineRule="auto"/>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effectively manage the continued growth and the scope and complexity of our business, including our expansion into new business models that are untested and into adjacent business opportunities with large, established competitors.</w:t>
      </w:r>
    </w:p>
    <w:p>
      <w:pPr>
        <w:spacing w:after="0" w:line="150"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interactive entertainment software industry is highly competitive.</w:t>
      </w:r>
    </w:p>
    <w:p>
      <w:pPr>
        <w:spacing w:after="0" w:line="192" w:lineRule="exact"/>
        <w:rPr>
          <w:rFonts w:ascii="Times New Roman" w:cs="Times New Roman" w:eastAsia="Times New Roman" w:hAnsi="Times New Roman"/>
          <w:sz w:val="16"/>
          <w:szCs w:val="16"/>
          <w:color w:val="auto"/>
        </w:rPr>
      </w:pPr>
    </w:p>
    <w:p>
      <w:pPr>
        <w:ind w:left="5540" w:right="220" w:hanging="4982"/>
        <w:spacing w:after="0" w:line="516" w:lineRule="auto"/>
        <w:tabs>
          <w:tab w:leader="none" w:pos="83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product development risks, which could result in delays and additional costs, and often times we must adapt to changes in software technologies.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5010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15" w:name="page16"/>
    <w:bookmarkEnd w:id="15"/>
    <w:p>
      <w:pPr>
        <w:ind w:left="282" w:hanging="282"/>
        <w:spacing w:after="0" w:line="304" w:lineRule="auto"/>
        <w:tabs>
          <w:tab w:leader="none" w:pos="282"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spacing w:after="0" w:line="127" w:lineRule="exact"/>
        <w:rPr>
          <w:rFonts w:ascii="Times New Roman" w:cs="Times New Roman" w:eastAsia="Times New Roman" w:hAnsi="Times New Roman"/>
          <w:sz w:val="15"/>
          <w:szCs w:val="15"/>
          <w:color w:val="auto"/>
        </w:rPr>
      </w:pPr>
    </w:p>
    <w:p>
      <w:pPr>
        <w:ind w:left="282" w:right="20" w:hanging="282"/>
        <w:spacing w:after="0" w:line="270"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results of operations or reputation may be harmed as a result of objectionable consumer- or other third party-created content, or if our distributors, retailers, development, and licensing partners, or other third parties with whom we are affiliated, act in ways that put our brand at risk.</w:t>
      </w:r>
    </w:p>
    <w:p>
      <w:pPr>
        <w:spacing w:after="0" w:line="150"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products or services we release may contain defects, bugs or errors.</w:t>
      </w:r>
    </w:p>
    <w:p>
      <w:pPr>
        <w:spacing w:after="0" w:line="192"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External game developers may not meet product development schedules or otherwise fulfill their contractual obligations.</w:t>
      </w:r>
    </w:p>
    <w:p>
      <w:pPr>
        <w:spacing w:after="0" w:line="192" w:lineRule="exact"/>
        <w:rPr>
          <w:rFonts w:ascii="Times New Roman" w:cs="Times New Roman" w:eastAsia="Times New Roman" w:hAnsi="Times New Roman"/>
          <w:sz w:val="16"/>
          <w:szCs w:val="16"/>
          <w:color w:val="auto"/>
        </w:rPr>
      </w:pPr>
    </w:p>
    <w:p>
      <w:pPr>
        <w:ind w:left="282" w:right="20" w:hanging="282"/>
        <w:spacing w:after="0" w:line="270"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cybersecurity-related attack, significant data breach, or disruption of the information technology systems or networks on which we rely could negatively impact our business.</w:t>
      </w:r>
    </w:p>
    <w:p>
      <w:pPr>
        <w:spacing w:after="0" w:line="150" w:lineRule="exact"/>
        <w:rPr>
          <w:rFonts w:ascii="Times New Roman" w:cs="Times New Roman" w:eastAsia="Times New Roman" w:hAnsi="Times New Roman"/>
          <w:sz w:val="16"/>
          <w:szCs w:val="16"/>
          <w:color w:val="auto"/>
        </w:rPr>
      </w:pPr>
    </w:p>
    <w:p>
      <w:pPr>
        <w:ind w:left="282" w:hanging="282"/>
        <w:spacing w:after="0" w:line="270"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do not successfully invest in, establish and maintain awareness of our brand and games or if we incur excessive expenses promoting and maintaining our brand or our games, our business, financial condition, results of operations or reputation could be harmed.</w:t>
      </w:r>
    </w:p>
    <w:p>
      <w:pPr>
        <w:spacing w:after="0" w:line="150"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operating results may fluctuate from quarter to quarter, which makes our future results difficult to predict.</w:t>
      </w:r>
    </w:p>
    <w:p>
      <w:pPr>
        <w:spacing w:after="0" w:line="192" w:lineRule="exact"/>
        <w:rPr>
          <w:rFonts w:ascii="Times New Roman" w:cs="Times New Roman" w:eastAsia="Times New Roman" w:hAnsi="Times New Roman"/>
          <w:sz w:val="16"/>
          <w:szCs w:val="16"/>
          <w:color w:val="auto"/>
        </w:rPr>
      </w:pPr>
    </w:p>
    <w:p>
      <w:pPr>
        <w:ind w:left="282" w:right="20" w:hanging="282"/>
        <w:spacing w:after="0" w:line="270"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experienced rapid growth and expect to invest in our growth for the foreseeable future. If we fail to manage our growth effectively, then our business, operating results and financial condition would be adversely affected.</w:t>
      </w:r>
    </w:p>
    <w:p>
      <w:pPr>
        <w:spacing w:after="0" w:line="150"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utilize artificial intelligence (“AI”), which could expose us to liability or adversely affect our business.</w:t>
      </w:r>
    </w:p>
    <w:p>
      <w:pPr>
        <w:spacing w:after="0" w:line="192" w:lineRule="exact"/>
        <w:rPr>
          <w:rFonts w:ascii="Times New Roman" w:cs="Times New Roman" w:eastAsia="Times New Roman" w:hAnsi="Times New Roman"/>
          <w:sz w:val="16"/>
          <w:szCs w:val="16"/>
          <w:color w:val="auto"/>
        </w:rPr>
      </w:pPr>
    </w:p>
    <w:p>
      <w:pPr>
        <w:ind w:left="282" w:right="20" w:hanging="282"/>
        <w:spacing w:after="0" w:line="270"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protect the intellectual property relating to our material software, the commercial value of our products will be adversely affected, and our competitive position could be harmed.</w:t>
      </w:r>
    </w:p>
    <w:p>
      <w:pPr>
        <w:spacing w:after="0" w:line="150" w:lineRule="exact"/>
        <w:rPr>
          <w:rFonts w:ascii="Times New Roman" w:cs="Times New Roman" w:eastAsia="Times New Roman" w:hAnsi="Times New Roman"/>
          <w:sz w:val="16"/>
          <w:szCs w:val="16"/>
          <w:color w:val="auto"/>
        </w:rPr>
      </w:pPr>
    </w:p>
    <w:p>
      <w:pPr>
        <w:ind w:left="282" w:hanging="282"/>
        <w:spacing w:after="0" w:line="270"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infringe, misappropriate, or otherwise violate or are alleged to infringe, misappropriate or otherwise violate the intellectual property rights of third parties, our business could be adversely affected.</w:t>
      </w:r>
    </w:p>
    <w:p>
      <w:pPr>
        <w:spacing w:after="0" w:line="150"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debt obligations with short term durations that are coming due within one year.</w:t>
      </w:r>
    </w:p>
    <w:p>
      <w:pPr>
        <w:spacing w:after="0" w:line="192" w:lineRule="exact"/>
        <w:rPr>
          <w:rFonts w:ascii="Times New Roman" w:cs="Times New Roman" w:eastAsia="Times New Roman" w:hAnsi="Times New Roman"/>
          <w:sz w:val="16"/>
          <w:szCs w:val="16"/>
          <w:color w:val="auto"/>
        </w:rPr>
      </w:pPr>
    </w:p>
    <w:p>
      <w:pPr>
        <w:jc w:val="both"/>
        <w:ind w:left="282" w:hanging="282"/>
        <w:spacing w:after="0" w:line="258"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“controlled company” under the corporate governance rules of Nasdaq and, as a result, qualify for and rely on exemptions from certain corporate governance requirements. Since we elected to rely on the exemptions available to a “controlled company,” you do not have the same protections afforded to stockholders of companies that are subject to such corporate governance requirements.</w:t>
      </w:r>
    </w:p>
    <w:p>
      <w:pPr>
        <w:spacing w:after="0" w:line="158" w:lineRule="exact"/>
        <w:rPr>
          <w:rFonts w:ascii="Times New Roman" w:cs="Times New Roman" w:eastAsia="Times New Roman" w:hAnsi="Times New Roman"/>
          <w:sz w:val="16"/>
          <w:szCs w:val="16"/>
          <w:color w:val="auto"/>
        </w:rPr>
      </w:pPr>
    </w:p>
    <w:p>
      <w:pPr>
        <w:ind w:left="282" w:right="20" w:hanging="282"/>
        <w:spacing w:after="0" w:line="270"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Shi, our Founder, Chief Strategy Officer and Chairman, controls us, and his ownership of our common stock prevents you and other stockholders from influencing significant decisions.</w:t>
      </w:r>
    </w:p>
    <w:p>
      <w:pPr>
        <w:spacing w:after="0" w:line="150" w:lineRule="exact"/>
        <w:rPr>
          <w:rFonts w:ascii="Times New Roman" w:cs="Times New Roman" w:eastAsia="Times New Roman" w:hAnsi="Times New Roman"/>
          <w:sz w:val="16"/>
          <w:szCs w:val="16"/>
          <w:color w:val="auto"/>
        </w:rPr>
      </w:pPr>
    </w:p>
    <w:p>
      <w:pPr>
        <w:ind w:left="282" w:right="20" w:hanging="282"/>
        <w:spacing w:after="0" w:line="270"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cannot guarantee that our Share Repurchase Program will be fully implemented, nor that it will enhance stockholder value, and share repurchases could affect the price of our Class A common stock.</w:t>
      </w:r>
    </w:p>
    <w:p>
      <w:pPr>
        <w:spacing w:after="0" w:line="150"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realization of the Company’s deferred tax assets is contingent upon the Company’s upcoming new game releases to generate sufficient taxable income.</w:t>
      </w:r>
    </w:p>
    <w:p>
      <w:pPr>
        <w:spacing w:after="0" w:line="192" w:lineRule="exact"/>
        <w:rPr>
          <w:sz w:val="20"/>
          <w:szCs w:val="20"/>
          <w:color w:val="auto"/>
        </w:rPr>
      </w:pPr>
    </w:p>
    <w:p>
      <w:pPr>
        <w:ind w:left="4982"/>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13335</wp:posOffset>
            </wp:positionV>
            <wp:extent cx="715010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702"/>
          </w:cols>
          <w:pgMar w:left="878" w:top="59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the future success of our ARK franchise, and we must continue to publish “hit” titles or sequels to such “hit” titles in order to compete successfully in our industry.</w:t>
      </w:r>
    </w:p>
    <w:p>
      <w:pPr>
        <w:spacing w:after="0" w:line="143"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ARK </w:t>
      </w:r>
      <w:r>
        <w:rPr>
          <w:rFonts w:ascii="Times New Roman" w:cs="Times New Roman" w:eastAsia="Times New Roman" w:hAnsi="Times New Roman"/>
          <w:sz w:val="16"/>
          <w:szCs w:val="16"/>
          <w:color w:val="auto"/>
        </w:rPr>
        <w:t>is a “hit” product and has historically accounted for a substantial portion of our revenue. The</w:t>
      </w:r>
      <w:r>
        <w:rPr>
          <w:rFonts w:ascii="Times New Roman" w:cs="Times New Roman" w:eastAsia="Times New Roman" w:hAnsi="Times New Roman"/>
          <w:sz w:val="16"/>
          <w:szCs w:val="16"/>
          <w:i w:val="1"/>
          <w:iCs w:val="1"/>
          <w:color w:val="auto"/>
        </w:rPr>
        <w:t xml:space="preserve"> ARK </w:t>
      </w:r>
      <w:r>
        <w:rPr>
          <w:rFonts w:ascii="Times New Roman" w:cs="Times New Roman" w:eastAsia="Times New Roman" w:hAnsi="Times New Roman"/>
          <w:sz w:val="16"/>
          <w:szCs w:val="16"/>
          <w:color w:val="auto"/>
        </w:rPr>
        <w:t>franchise contributed 87.8% of our net revenue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December 31, 2023, and our five best-selling franchises (including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which may change year over year, in the aggregate accounted for 91.9% of our net revenue for the year ended December 31, 2023.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spacing w:after="0" w:line="16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we do not consistently deliver popular, high-quality content in a timely manner, if we are not successful in meaningfully expanding our existing franchise, or if consumers prefer products from our competitors, our business may be negatively impacted.</w:t>
      </w:r>
    </w:p>
    <w:p>
      <w:pPr>
        <w:spacing w:after="0" w:line="145"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Consumer preferences for games are usually cyclical and difficult to predict. Even the most successful games can lose consumer audiences over time, and remaining popular is increasingly dependent on the games being refreshed with new content or other enhancements. In order to remain competitive and maximize the chances that consumers select our products as opposed to the various entertainment options available to them and with which we compete, we must continuously develop new products or new content for, or other enhancements to, our existing products. These products or enhancements may not be well-received by consumers, even if well-reviewed and of high quality. Our competitors include very large corporations with significantly greater financial, marketing and product development resources than we have and many smaller competitors, particularly on the mobile platform.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Further, competitors may develop content that imitates or competes with our best-selling games, potentially reducing our sales or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high-quality and well-received games or enhancements to those games, if our marketing fails to resonate with our consumers, if we are not successful in meaningfully expanding our franchises further on the mobile platform or if consumers lose interest in a genre of games we produce, our revenues and profit margins could decline. In addition, our own best-selling products could compete with our other games, reducing sales for those other games. Further, a failure by us to develop a high-quality product, or our development of a product that is otherwise not well-received, could potentially result in additional expenditures to respond to consumer demands, harm our reputation, and increase the likelihood that our future products will not be well-received. The increased importance of DLC to our business amplifies these risks, as DLC for poorly-received games typically generates lower-than-expected sales. The increased demand for consistent enhancements to our products also requires a greater allocation of financial resources to those products.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17" w:name="page18"/>
    <w:bookmarkEnd w:id="17"/>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proprietary online gaming service,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 Our games with online features are also frequently updated, increasing the risk that a game may contain significant errors, or “bugs.” If any of these issues occur, consumers may stop playing the game and may be less likely to return to the game as often in the future, which may negatively impact our business.</w:t>
      </w:r>
    </w:p>
    <w:p>
      <w:pPr>
        <w:spacing w:after="0" w:line="15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Further, delays in product releases or disruptions following the commercial release of one or more new products could negatively impact our business and reputation and could cause our results of operations to be materially different from expectations. If we fail to release our products in a timely manner, or if we are unable to continue to extend the life of existing games by adding features and functionality that will encourage continued engagement with the game, our business may be negatively impacted.</w:t>
      </w:r>
    </w:p>
    <w:p>
      <w:pPr>
        <w:spacing w:after="0" w:line="159"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Additionally, the amount of lead time and cost involved in the development of high-quality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up-front development and marketing costs associated with those products.</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spacing w:after="0" w:line="158"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franchise from SDE, the parent company of Studio Wildcard, which is also an entity that is owned and controlled by the spouse of our Founder, Chief Strategy Officer and Chairman, Mr. Shi. We entered into an original exclusive software license agreement with SDE in November 2015, for the rights to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and subsequently entered into the amended and restated ARK1 License Agreement. In December 2022 and October 2023, we amended the ARK1 License Agreement.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franchise contributed 87.8% of our net revenue for the year ended December 31, 2023.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 included in this Annual Report for the fiscal year ended December 31, 2023.</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18" w:name="page19"/>
    <w:bookmarkEnd w:id="18"/>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depend on our key management and product development personnel.</w:t>
      </w:r>
    </w:p>
    <w:p>
      <w:pPr>
        <w:spacing w:after="0" w:line="196" w:lineRule="exact"/>
        <w:rPr>
          <w:sz w:val="20"/>
          <w:szCs w:val="20"/>
          <w:color w:val="auto"/>
        </w:rPr>
      </w:pPr>
    </w:p>
    <w:p>
      <w:pPr>
        <w:jc w:val="both"/>
        <w:ind w:right="20" w:firstLine="282"/>
        <w:spacing w:after="0" w:line="283" w:lineRule="auto"/>
        <w:rPr>
          <w:sz w:val="20"/>
          <w:szCs w:val="20"/>
          <w:color w:val="auto"/>
        </w:rPr>
      </w:pPr>
      <w:r>
        <w:rPr>
          <w:rFonts w:ascii="Times New Roman" w:cs="Times New Roman" w:eastAsia="Times New Roman" w:hAnsi="Times New Roman"/>
          <w:sz w:val="15"/>
          <w:szCs w:val="15"/>
          <w:color w:val="auto"/>
        </w:rPr>
        <w:t xml:space="preserve">Our continued success will depend to a significant extent on our senior management team and maintaining positive relationships with our games’ developers, including Studio Wildcard, and the product development personnel responsible for content creation and development of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We are also highly dependent on the expertise, skill and knowledge of Mr. Shi, our Founder, Chief Strategy Officer and Chairman, Mr. Jim Tsai, our Chief Executive Officer, and Mr. Peter Kang, our Chief Operating Officer.</w:t>
      </w:r>
    </w:p>
    <w:p>
      <w:pPr>
        <w:spacing w:after="0" w:line="142"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The loss of the services of our executive officers, including Messrs. Shi, Tsai or Kang or certain key product development personnel, including those employed by studio partners, such as Studio Wildcard,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management team has limited experience managing a public company.</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Most members of our management team have limited experience managing a publicly traded company, interacting with public company investors and regulators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impact our business, operating results and financial condition.</w:t>
      </w:r>
    </w:p>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the risks of earthquakes, fire, floods, public health crises and other natural catastrophes and to interruption by man-made problems such as power disruptions, computer viruses, data security breaches or other incidents, war or terrorism.</w:t>
      </w:r>
    </w:p>
    <w:p>
      <w:pPr>
        <w:spacing w:after="0" w:line="14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corporate headquarters is located in Culver City, California. Additionally, we rely on third-party infrastructure, enterprise applications and internal technology systems for our development, marketing, operational support and sales activities. The West Coast of the United States, where our corporate headquarters are located, contains active earthquake zones and has been subject to numerous devastating wildfires and associated electrical blackouts. In the event of a catastrophic event, including a natural disaster such as an earthquake, hurricane, fire, flood, tsunami or tornado, or other catastrophic event such as power loss, telecommunications failure, software or hardware malfunction, cyber-attack, war, terrorist attack or incident of mass violence in the Los Angeles area or elsewhere where our operations are located or where certain other systems and applications that we rely on are hosted, we may be unable to continue our operations and may endure significant system interruptions, reputational harm, delays in our application development, lengthy interruptions in our platform, breaches of data security and loss of critical data, all of which could have an adverse effect on our future operating results. In addition, natural disasters, cyber-attacks, escalation of geopolitical tensions, including as a result of escalations in the ongoing conflict between Russia and Ukraine or Israel and Hamas, acts of terrorism, public health crises, such as pandemics and epidemics, or other catastrophic events could cause disruptions in our or our customers’ businesses, national economies or the world economy as a whole.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19" w:name="page20"/>
    <w:bookmarkEnd w:id="19"/>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industry is subject to rapid technological change, and if we do not adapt to, and appropriately allocate our resources among, emerging technologies and business models, our business may be negatively impacted.</w:t>
      </w:r>
    </w:p>
    <w:p>
      <w:pPr>
        <w:spacing w:after="0" w:line="14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Technology changes rapidly in the interactive entertainment industry. We must continually anticipate and adapt to emerging technologies, such as cloud-based game streaming, and business models, such as free-to-play and subscription-based access to a portfolio of interactive content, to stay competitive. Forecasting the financial impact of these rapidly changing technologies and business models is inherently uncertain and volatile. Supporting a new technology or business model may require partnering with a new platform, business, or technology partner, which may be on terms that are less favorable to us than those for more traditional technologies or business models. If we invest in the development of interactive entertainment products for distribution channels that incorporate a new technology or business model that does not achieve significant commercial success, whether because of competition or otherwise, we may not recover the often substantial up-front costs of developing and marketing those products, or recover the opportunity cost of diverting management and financial resources away from other products or opportunities. Further, our competitors may adapt to an emerging technology or business model more quickly or effectively than we do, creating products that are technologically superior to ours, more appealing to consumers, or both.</w:t>
      </w:r>
    </w:p>
    <w:p>
      <w:pPr>
        <w:spacing w:after="0" w:line="17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If, on the other hand, we elect not to pursue the development of products incorporating a new technology, or otherwise elect not to pursue new business models that achieve significant commercial success, it may have adverse consequences. It may take significant time and expenditures to shift product development resources to that technology or business model, and it may be more difficult to compete against existing products incorporating that technology or using that business model.</w:t>
      </w:r>
    </w:p>
    <w:p>
      <w:pPr>
        <w:spacing w:after="0" w:line="159"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addition, the pace of change in product offerings and consumer tastes in the electronics and digital gaming areas is great and this pace of change is expected to accelerate as artificial intelligence is further incorporated into the development of games. If a digital game fails to gain consumer acceptance early in its life cycle, there are limited opportunities to gain such acceptance through secondary launches or distribution through alternative platforms. This pace of change or lack of consumer acceptance means that the window in which a digital gaming product can achieve and maintain consumer interest may be even shorter than traditional toys and games.</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rely on third-party platforms, such as Xbox Live and Game Pass, PlayStation Network, Steam, Epic Games Store, My Nintendo Store, the Apple App Store, the Google Play Store, and the Amazon Appstore, to distribute our games and collect revenues generated on such platforms and rely on third-party payment service providers to collect revenues generated on our own platforms.</w:t>
      </w:r>
    </w:p>
    <w:p>
      <w:pPr>
        <w:spacing w:after="0" w:line="158"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games are primarily purchased, accessed and operated through Xbox Live and Game Pass, PlayStation Network, Steam, Epic Games Store, My Nintendo Store, and in the case of our mobile games, the Apple App Store, the Google Play Store and the Amazon Appstore. Substantially all of the games, DLC and in-game virtual items that we sell are purchased using the payment processing systems of these platforms and, for the year ended December 31, 2023, 89.7% of our revenues were generated through Xbox Live and Game Pass, PlayStation Network, Steam, Epic Games Store, My Nintendo Store, the Apple App Store, the Google Play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spacing w:after="0" w:line="170" w:lineRule="exact"/>
        <w:rPr>
          <w:sz w:val="20"/>
          <w:szCs w:val="20"/>
          <w:color w:val="auto"/>
        </w:rPr>
      </w:pPr>
    </w:p>
    <w:p>
      <w:pPr>
        <w:ind w:left="840" w:hanging="28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platform providers discontinue or limit our access to their platforms;</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governments or private parties, such as internet providers, impose bandwidth restrictions, increase charges or restrict or prohibit access to those platforms;</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platforms increase the fees they charge us;</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platforms modify their algorithms, communication channels available to developers, respective terms of service or other policies;</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platforms decline in popularity;</w:t>
      </w:r>
    </w:p>
    <w:p>
      <w:pPr>
        <w:spacing w:after="0" w:line="192" w:lineRule="exact"/>
        <w:rPr>
          <w:rFonts w:ascii="Times New Roman" w:cs="Times New Roman" w:eastAsia="Times New Roman" w:hAnsi="Times New Roman"/>
          <w:sz w:val="16"/>
          <w:szCs w:val="16"/>
          <w:color w:val="auto"/>
        </w:rPr>
      </w:pPr>
    </w:p>
    <w:p>
      <w:pPr>
        <w:ind w:left="840" w:right="20" w:hanging="282"/>
        <w:spacing w:after="0" w:line="270" w:lineRule="auto"/>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spacing w:after="0" w:line="150"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platforms elect or are required to change how they label free-to-play games or take payment for in-game purchases;</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platforms block or limit access to the genres of games that we provide in any jurisdiction;</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platform experiences a bankruptcy or other form of insolvency event; or</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unable to comply with the platform providers’ terms of service.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20" w:name="page21"/>
    <w:bookmarkEnd w:id="20"/>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spacing w:after="0" w:line="172"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spacing w:after="0" w:line="15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depend on servers and networks to operate our games with online features. If we were to lose functionality in any of these areas for any reason, our business may be negatively impacted.</w:t>
      </w:r>
    </w:p>
    <w:p>
      <w:pPr>
        <w:spacing w:after="0" w:line="14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business relies on the continuous operation of servers, the vast majority of which are owned and operated by third parties. Although we strive to maintain more than sufficient server capacity, and provide for active redundancy in the event of limited hardware failure, any broad-based catastrophic server malfunction, a significant service-disrupting attack or intrusion by hackers that circumvents security measures, a failure of disaster recovery service or the failure of a company on which we are relying for server capacity to provide that capacity for whatever reason would likely degrade or interrupt the functionality of our games with online features, and could prevent the operation of such games altogether, any of which could result in the loss of sales for, or in, such games. The risk is particularly pronounced with respect to our multiplayer game services, which rely on systems hosted in a hybrid of data centers across the world as well as cloud providers. Further, insufficient server capacity, in particular during times of peak player activity corresponding with the release of new games or DLC, could affect our ability to provide game services, which could negatively impact our business. Conversely, if we overestimate the amount of server capacity required by our business, we may incur additional operating costs.</w:t>
      </w:r>
    </w:p>
    <w:p>
      <w:pPr>
        <w:spacing w:after="0" w:line="172"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also rely on platforms and networks operated by third parties, such as Xbox Live and Game Pass, PlayStation Network, Steam, My Nintendo Store and Epic Games Store for the sale and digital delivery of downloadable console and PC game content, the functionality of our games with online features. Similarly, we rely on those platforms and networks, as well as the continued operation of the Apple App Store, the Google Play Store and the Amazon Appstore for our free-to-play games. An extended interruption to any of these services could adversely affect our ability to sell and distribute our digital products and operate our games with online features, which could result in a loss of revenue and otherwise negatively impact our business.</w:t>
      </w:r>
    </w:p>
    <w:p>
      <w:pPr>
        <w:spacing w:after="0" w:line="16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effectively manage the continued growth and the scope and complexity of our business, including our expansion into new business models that are untested and into adjacent business opportunities with large, established competitors.</w:t>
      </w:r>
    </w:p>
    <w:p>
      <w:pPr>
        <w:spacing w:after="0" w:line="14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In recent years, we have experienced significant growth in the scope and complexity of our business. From time to time we seek to establish and implement new business models, including eSports offerings, our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xml:space="preserve"> influencer platform and animation ventures. Forecasting the success of any new business model is inherently uncertain and depends on a number of factors both within and outside of our control. Our actual revenue and profit for these businesses may be significantly greater or less than our forecasts. In addition, these new business models could fail, resulting in the loss of our investment in the development and infrastructure needed to support these new business models, as well as the opportunity cost of diverting management and financial resources away from more successful and established businesses. While we anticipate growth in these areas of our business, consumer demand is difficult to predict as a result of a number of factors, including satisfaction with our products and services, our ability to provide engaging products and services, reliability of our infrastructure and the infrastructure of our partners, pricing, the actual or perceived security of our and our partners’ information technology systems and reductions in consumer spending levels.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21" w:name="page22"/>
    <w:bookmarkEnd w:id="21"/>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do not know to what extent these and any future expansions into new business models will be successful. Further, even if successful, our aspirations for growth in our core businesses and these adjacent businesses could create significant challenges for our management, operational, and financial resources. If not managed effectively, this growth could result in the over-extension of our operating infrastructure, and our management systems, information technology systems, and internal controls and procedures may not be adequate to support this growth. Failure by these new businesses or failure to adequately manage our growth in any of these ways may damage our brand or otherwise negatively impact our core business. Further, the success of these new businesses is largely contingent on the success of our underlying franchises and as such, a decline in the popularity of a franchise may impact the success of the new businesses adjacent to that franchise.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interactive entertainment software industry is highly competitive.</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compete for the sale of interactive entertainment software with Sony and Microsoft, each of which is a large developer and marketer of software for its own platforms. We also compete with game publishers, such as Activision Blizzard, Inc., Electronic Arts Inc., Take-Two Interactive, Ubisoft, Epic Games, Tencent, Zynga, Netmarble, Sony, Microsoft and Nintendo primarily for game development on consoles, PCs and mobile devices. Across the sandbox survival game genre, we primarily compete with Embracer Group, Saber Group, Enand Global 7, FunCom, Axolot Games and Facepunch Studios. As our business is dependent upon our ability to develop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and make higher offers to licensors and developers for commercially desirable properties. Our titles also compete with other forms of entertainment, such as social media and casual games, in addition to film, television and audio and video products featuring similar themes, online computer programs and other entertainment, which may be less expensive or provide other advantages to consumers.</w:t>
      </w:r>
    </w:p>
    <w:p>
      <w:pPr>
        <w:spacing w:after="0" w:line="170"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A number of software publishers who compete with us have developed and commercialized or are currently developing online games. As technological advances significantly increase the availability of online games and as consumer acceptance of online gaming grows substantially, it could result in a decline in our platform-based software sales and negatively affect sales of such products.</w:t>
      </w:r>
    </w:p>
    <w:p>
      <w:pPr>
        <w:spacing w:after="0" w:line="159"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Additionally, we compete with other forms of entertainment and leisure activities. While we monitor general market conditions, significant shifts in consumer demand that could materially alter public preferences for different forms of entertainment and leisure activities are difficult to predict. Failure to adequately identify and adapt to these competitive pressures could have a negative impact on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product development risks, which could result in delays and additional costs, and often times we must adapt to changes in software technologies.</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depend on our internal development studios and related-party developers to develop new interactive entertainment software within anticipated release schedules and cost projections. Our development costs can be substantial. If we or our related-party developers experience unanticipated development delays, financial difficulties or additional costs, for example, as a result of the increasing costs due to inflation or the ongoing geopolitical conflicts, we may not be able to release titles according to our schedule and at budgeted costs. There can be no assurance that our products will be sufficiently successful so that we can recoup these costs or make a profit on these products.</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Additionally, in order to stay competitive, our internal development studios must anticipate and adapt to rapid technological changes affecting software development, such as cloud-based game streaming. Any inability to respond to technological advances and implement new technologies could render our products obsolete or less marketable. Further, the failure to pursue the development of new technology, platforms, or business models that obtain meaningful commercial success in a timely manner may negatively affect our business, resulting in increased production or development costs and more strenuous competition.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22" w:name="page23"/>
    <w:bookmarkEnd w:id="22"/>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spacing w:after="0" w:line="145"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derive most of our revenue from publishing video games on third-party platform providers, such as Xbox Live and Game Pass, PlayStation Network, Steam, Epic Games Store, the Apple App Store, the Google Play Store, My Nintendo Store and the Amazon Appstore, which, in the aggregate, comprised 89.7% of our net revenue by product platform for the year ended December 31, 2023. The success of our business is subject to the continued popularity of these platforms and our ability to develop commercially successful products for these platforms.</w:t>
      </w:r>
    </w:p>
    <w:p>
      <w:pPr>
        <w:spacing w:after="0" w:line="16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results of operations or reputation may be harmed as a result of objectionable consumer- or other third party-created content, or if our distributors, retailers, development and licensing partners, or other third parties with whom we are affiliated, act in ways that put our brand at risk.</w:t>
      </w:r>
    </w:p>
    <w:p>
      <w:pPr>
        <w:spacing w:after="0" w:line="145"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Certain of our games support collaborative online features that allow consumers to communicate with one another and post narrative comments, in real time, that are visible to other consumers. Additionally, certain of our games allow consumers to create and share “user-generated content” that is visible to other consumers. From time to time, objectionable and offensive consumer content may be distributed within our games and on our broadcasts through these features or to gaming websites or other sites or forums with online chat features or that otherwise allow consumers to post comments. We may be subject to lawsuits, governmental regulation or restrictions, and consumer backlash (including decreased sales and harmed reputation), as a result of consumers posting offensive content.</w:t>
      </w:r>
    </w:p>
    <w:p>
      <w:pPr>
        <w:spacing w:after="0" w:line="16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 many cases, our business partners and other third party affiliates are given access to sensitive and proprietary information or control over our intellectual property to provide services and support to our team. These third parties may misappropriate or misuse our information or intellectual property and engage in unauthorized use of it. Further, the failure of these third parties to provide adequate services and technologies or to adequately maintain or update their services and technologies could result in a disruption to our business operations or an adverse effect on our reputation and may negatively impact our business. At the same time, if the media, consumers or employees raise any concerns about our actions vis-à-vis third parties, including consumers who play our games, this could also harm our business, results of operations or our reputation.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products or services we release may contain defects, bugs or errors.</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products and services contain or rely upon extremely complex software programs and are difficult to develop and distribute. We have quality controls in place to detect defects, bugs or other errors in our products and services before they are released. Nonetheless, these quality controls are subject to human error, overriding and resource or technical constraints. In addition, the effectiveness of our quality controls and preventative measures may be negatively affected by the distribution of our workforce resulting from, among other things, the COVID-19 pandemic. As such, these quality controls and preventative measures may not be effective in detecting all defects, bugs or errors in our products and services before they have been released into the marketplace. In such an event, the technological reliability and stability of our products and services could be below our standards and the standards of our players, and our reputation, brand and sales could be adversely affected. In addition, we could be required to, or may find it necessary to, offer a refund for the product or service, suspend the availability or sale of the product or service or expend significant resources to cure the defect, bug or error each of which could significantly harm our business and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External game developers may not meet product development schedules or otherwise fulfill their contractual obligations.</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are heavily reliant upon contracts with external game developers to develop our games or distribute our games. While we maintain contractual protections, we have less control over the product development schedules of games developed by external developers. We depend on their ability to meet product development schedules which could be negatively affected by, among other things, the distributed workforce model resulting from the COVID-19 pandemic or the loss of key development personnel. In addition, disputes occasionally arise with external developers, including with respect to game content, launch timing, achievement of certain milestones, the game development timeline, marketing campaigns, contractual terms and interpretation of such terms. If we have disputes with external developers or they cannot meet product development schedules, acquire certain approvals or are otherwise unable or unwilling to fulfill their contractual obligations to us, we may delay or cancel previously announced games, alter our launch schedule or experience increased costs and expenses, which could result in a delay or significant shortfall in anticipated revenue, harm our profitability and reputation and cause our financial results to be materially affected.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23" w:name="page24"/>
    <w:bookmarkEnd w:id="23"/>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Any cybersecurity-related attack, significant data breach or disruption of the information technology systems or networks on which we rely could negatively impact our business.</w:t>
      </w:r>
    </w:p>
    <w:p>
      <w:pPr>
        <w:spacing w:after="0" w:line="145" w:lineRule="exact"/>
        <w:rPr>
          <w:sz w:val="20"/>
          <w:szCs w:val="20"/>
          <w:color w:val="auto"/>
        </w:rPr>
      </w:pPr>
    </w:p>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In the course of our day-to-day business, we and third parties operating on our behalf and from which we license certain intellectual property create, store, and/or use commercially sensitive information, such as the source code and game assets for our interactive entertainment software products and sensitive and confidential information with respect to our customers, consumers, and employees. Our ability to effectively manage our business and coordinate the manufacturing, sourcing, distribution and sale of our interactive entertainment software products depends significantly on the reliability and capacity of these systems. We are critically dependent on the integrity, security and consistent operations of these systems. A malicious cybersecurity-related attack, intrusion or disruption by hackers (including through spyware, ransomware, viruses, phishing, denial of service and similar attacks) or other breach of the systems on which such source code and assets, account information (including personal information) and other sensitive data is stored could lead to piracy of our software, fraudulent activity, disclosure or misappropriation of, or access to, our customers’, consumers’ or employees’ personal information, or our own business data. Such incidents could also lead to product code-base and game distribution platform exploitation, should undetected viruses, spyware, or other malware be inserted into our products, services, or networks, or systems used by our consumers. We have implemented cybersecurity programs and the tools, technologies, processes, and procedures intended to secure our data and systems, and prevent and detect unauthorized access to, or loss of, our data, or the data of our customers, consumers or employees. However, because these cyberattacks may remain undetected for prolonged periods of time and the techniques used by criminal hackers and other third parties to breach systems are constantly evolving, change frequently and we may be unable to anticipate these techniques or implement adequate preventative measures. A data intrusion into a server for a game with online features or for our proprietary online gaming service could also disrupt the operation of such game or platform. If we are subject to cybersecurity breaches, or a security-related incident that materially disrupts the availability of our products and services, we may have a loss in sales or subscriptions or be forced to pay damages or incur other costs, including from the implementation of additional cyber and physical security measures, or suffer reputational damage. If there were a public perception that our data protection measures are inadequate, whether or not the case, it could result in reputational damage and potential harm to our business relationships or the public perception of our business model. In addition, such cybersecurity breaches may subject us to legal claims or proceedings, like individual claims and regulatory investigations and actions, including fines, especially if there is loss, disclosure, or misappropriation of, or access to, our customers’ personal information or other sensitive information, or there is otherwise an intrusion into our customers’ privacy.</w:t>
      </w:r>
    </w:p>
    <w:p>
      <w:pPr>
        <w:spacing w:after="0" w:line="17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we do not successfully invest in, establish and maintain awareness of our brand and games or if we incur excessive expenses promoting and maintaining our brand or our games, our business, financial condition, results of operations or reputation could be harmed.</w:t>
      </w:r>
    </w:p>
    <w:p>
      <w:pPr>
        <w:spacing w:after="0" w:line="14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believe that establishing and maintaining our brand is critical to maintaining and creating favorable relationships with players, platform providers, advertisers and content licensors, as well as competing for key talent. Increasing awareness of our brand and recognition of our games is particularly important in connection with our strategic focus on in-licensing games successfully cross-promoting such games. In addition, globalizing and extending our brand and recognition of our games requires significant investment and extensive management time to execute successfully. Although we make significant sales and marketing expenditures in connection with the launch of our games, these efforts may not succeed in increasing awareness of our brand or the new games. If we fail to increase and maintain brand awareness and consumer recognition of our games, our potential revenues could be limited, our costs could increase and our business, financial condition, results of operations or reputation could suffer.</w:t>
      </w:r>
    </w:p>
    <w:p>
      <w:pPr>
        <w:spacing w:after="0" w:line="16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addition, if a game contains objectionable content or the messaging functionality of our games is abused, we could experience damage to our reputation and brand. Despite reasonable precautions, some consumers may be offended by certain game content, including user-generated content, the third-party advertisements displayed in our mobile games, or by treatment of other users. If consumers believe that a game we published or third-party advertisement displayed in a game contains objectionable content, it could harm our brand and consumers could refuse to play it and could pressure the platform providers to remove the game from their platforms. For example, we rely on third-party advertising partners to display advertisements within our mobile games, and may experience in the future instances where offensive or objectionable content has been displayed in our games through our advertising partners. While this may violate the terms of our agreements with these advertising partners, our reputation and player experience may suffer. Furthermore, steps that we may take in response to such instances, such as temporarily or permanently shutting off access of such advertising partner to our network, may negatively impact our revenue in such period.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i w:val="1"/>
          <w:iCs w:val="1"/>
          <w:color w:val="auto"/>
        </w:rPr>
        <w:t>Our operating results may fluctuate from quarter to quarter, which makes our future results difficult to predict.</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Our quarterly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w:t>
      </w:r>
    </w:p>
    <w:p>
      <w:pPr>
        <w:spacing w:after="0" w:line="166" w:lineRule="exact"/>
        <w:rPr>
          <w:sz w:val="20"/>
          <w:szCs w:val="20"/>
          <w:color w:val="auto"/>
        </w:rPr>
      </w:pPr>
    </w:p>
    <w:p>
      <w:pPr>
        <w:ind w:left="840" w:hanging="28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grow our player base;</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and increase revenue from existing customers;</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introduce new features and functionalities and enhance existing features and functionalities;</w:t>
      </w:r>
    </w:p>
    <w:p>
      <w:pPr>
        <w:spacing w:after="0" w:line="192" w:lineRule="exact"/>
        <w:rPr>
          <w:rFonts w:ascii="Times New Roman" w:cs="Times New Roman" w:eastAsia="Times New Roman" w:hAnsi="Times New Roman"/>
          <w:sz w:val="16"/>
          <w:szCs w:val="16"/>
          <w:color w:val="auto"/>
        </w:rPr>
      </w:pPr>
    </w:p>
    <w:p>
      <w:pPr>
        <w:ind w:left="840" w:right="20" w:hanging="282"/>
        <w:spacing w:after="0" w:line="270" w:lineRule="auto"/>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respond to competitive developments, including pricing changes and the introduction of new products and features by our competitors, or the emergence of new competitors;</w:t>
      </w:r>
    </w:p>
    <w:p>
      <w:pPr>
        <w:spacing w:after="0" w:line="150"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 purchasing patterns of our consumers;</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downtime or defects in our game and reputational harm;</w:t>
      </w:r>
    </w:p>
    <w:p>
      <w:pPr>
        <w:spacing w:after="0" w:line="192" w:lineRule="exact"/>
        <w:rPr>
          <w:rFonts w:ascii="Times New Roman" w:cs="Times New Roman" w:eastAsia="Times New Roman" w:hAnsi="Times New Roman"/>
          <w:sz w:val="16"/>
          <w:szCs w:val="16"/>
          <w:color w:val="auto"/>
        </w:rPr>
      </w:pPr>
    </w:p>
    <w:p>
      <w:pPr>
        <w:ind w:left="840" w:right="20" w:hanging="282"/>
        <w:spacing w:after="0" w:line="270" w:lineRule="auto"/>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financial accounting standards and the interpretation of those standards that may affect the way we recognize and report our financial results, including changes in accounting rules governing recognition of revenue;</w:t>
      </w:r>
    </w:p>
    <w:p>
      <w:pPr>
        <w:spacing w:after="0" w:line="150"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political conditions and government regulations in the countries where we currently operate or plan to expand;</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decisions by us to incur additional expenses, such as increases in sales and marketing or research and development; and</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costs to attract, onboard, retain and motivate qualified personnel.</w:t>
      </w:r>
    </w:p>
    <w:p>
      <w:pPr>
        <w:spacing w:after="0" w:line="192"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The variability and unpredictability of our operating results could result in our failure to meet our expectations or those of analysts that cover us or investors with respect to revenue or other operating results for a particular period. If we fail to meet or exceed such expectations, then the trading price of our Class A common stock could fall substantially, and we could face costly lawsuits, including securities class action suits.</w:t>
      </w:r>
    </w:p>
    <w:p>
      <w:pPr>
        <w:spacing w:after="0" w:line="16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have experienced rapid growth and expect to invest in our growth for the foreseeable future. If we fail to manage our growth effectively, then our business, operating results and financial condition would be adversely affected.</w:t>
      </w:r>
    </w:p>
    <w:p>
      <w:pPr>
        <w:spacing w:after="0" w:line="145"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have experienced rapid growth in recent periods, and we expect to continue to invest broadly across our organization to support our growth.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spacing w:after="0" w:line="159"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Failure to manage growth effectively could result in difficulty or delays in attracting new players, declines in quality or player satisfaction and demand for our games, increases in costs, difficulties in introducing new products and features or enhancing our offerings, loss of customers or consumers, difficulties in attracting or retaining talent or other operational difficulties, any of which could adversely affect our business, operating results and financial condition. Effectively managing our growth may also be more difficult to accomplish the longer that our employees, our customers and the overall economy is impacted by rising interest rates, inflation and the ongoing conflicts in Ukraine and Gaza.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utilize artificial intelligence (“AI”), which could expose us to liability or adversely affect our business.</w:t>
      </w:r>
    </w:p>
    <w:p>
      <w:pPr>
        <w:spacing w:after="0" w:line="19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have integrated, or are in the process of integrating, artificial intelligence (“AI”) into various aspects of our business operations. These include, but are not limited to, customer service automation, data analytics, game development, and generation of resources. We evaluate and adapt our AI strategies to optimize operational efficiency and enhance customer experiences. We have made and expect to continue to make investments in AI, including software acquisitions, development of proprietary algorithms, and talent recruitment. These investments are expected to drive innovation, improve operational efficiencies, and contribute to long-term growth. While AI presents substantial opportunities, it also poses certain risks. These include reliance on complex algorithms, potential biases in AI decision-making, cybersecurity threats, and regulatory changes. If the AI tools that we use are deficient, inaccurate or controversial, we could incur operational inefficiencies, competitive harm, legal liability, brand or reputational harm, or other adverse impacts on our business and financial results. If we do not have sufficient rights to use the data or other material or content on which the AI tools we use rely, we also may incur liability through the violation of applicable laws and regulations, third-party intellectual property, privacy or other rights, or contracts to which we are a party. We seek to mitigate these risks through regular audits, risk assessments, review of privacy standards, security protocols, monitoring, and adaptive AI models. The integration of AI technologies has also led to changes in workforce requirements. We invest in employee training and development to adapt to AI-driven changes. While AI automates certain tasks, it also creates new roles and opportunities within our organization. We anticipate that AI will play an increasingly significant role in our operations and strategy. Ongoing investments and research in AI are expected to yield new capabilities and efficiencies, aligning with our long-term vision for innovation and growth.</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25" w:name="page26"/>
    <w:bookmarkEnd w:id="25"/>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addition, regulation of AI is rapidly evolving worldwide as legislators and regulators are increasingly focused on these powerful emerging technologies. The technologies underlying AI and its uses are subject to a variety of laws and regulations, including intellectual property, data privacy and security, consumer protection, competition, and equal opportunity laws, and are expected to be subject to increased regulation and new laws or new applications of existing laws and regulations. AI is the subject of ongoing review by various U.S. governmental and regulatory agencies, and various U.S. states and other foreign jurisdictions are applying, or are considering applying, their platform moderation, cybersecurity, and data protection laws and regulations to AI or are considering general legal frameworks for AI. We may not be able to anticipate how to respond to these rapidly evolving frameworks, and we may need to expend resources to adjust our operations or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1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protect the intellectual property relating to our material software, the commercial value of our products will be adversely affected, and our competitive position could be harmed.</w:t>
      </w:r>
    </w:p>
    <w:p>
      <w:pPr>
        <w:spacing w:after="0" w:line="145"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are highly reliant upon in-licensed intellectual property and developing proprietary software, where we have obtained the rights to publish and distribute software developed by third parties and related parties. We and our licensors attempt to protect our software and production techniques under patent, copyright, trademark and trade secret laws as well as through contractual restrictions on disclosure, copying and distribution. Nonetheless, our software is susceptible to piracy and unauthorized copying, and third parties may potentially exploit, misappropriate or otherwise violate our intellectual property and proprietary information, causing significant reputational damage. Unauthorized third parties, for example, may be able to copy or to reverse engineer our software to obtain and use programming or production techniques that we regard as proprietary. Well-organized piracy operations have also proliferated in recent years, resulting in the ability to download pirated copies of our software over the Internet. Although we attempt to incorporate protective measures into our software, piracy of our products could negatively affect our future profitability. In addition, “cheating” programs or other unauthorized software tools and modifications that enable consumers to cheat in games harm the experience of players who play fairly and could negatively impact the volume of microtransactions or purchases of DLC. Also, vulnerabilities in the design of our applications and of the platforms upon which they run could be discovered after their release. This may lead to lost revenues from paying consumers or increased cost of developing technological measures to respond to these vulnerabilities, either of which could negatively affect our business.</w:t>
      </w:r>
    </w:p>
    <w:p>
      <w:pPr>
        <w:spacing w:after="0" w:line="17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we infringe, misappropriate, or otherwise violate or are alleged to infringe, misappropriate or otherwise violate the intellectual property rights of third parties, our business could be adversely affected.</w:t>
      </w:r>
    </w:p>
    <w:p>
      <w:pPr>
        <w:spacing w:after="0" w:line="145" w:lineRule="exact"/>
        <w:rPr>
          <w:sz w:val="20"/>
          <w:szCs w:val="20"/>
          <w:color w:val="auto"/>
        </w:rPr>
      </w:pPr>
    </w:p>
    <w:p>
      <w:pPr>
        <w:jc w:val="both"/>
        <w:ind w:right="20" w:firstLine="282"/>
        <w:spacing w:after="0" w:line="248" w:lineRule="auto"/>
        <w:rPr>
          <w:sz w:val="20"/>
          <w:szCs w:val="20"/>
          <w:color w:val="auto"/>
        </w:rPr>
      </w:pPr>
      <w:r>
        <w:rPr>
          <w:rFonts w:ascii="Times New Roman" w:cs="Times New Roman" w:eastAsia="Times New Roman" w:hAnsi="Times New Roman"/>
          <w:sz w:val="16"/>
          <w:szCs w:val="16"/>
          <w:color w:val="auto"/>
        </w:rPr>
        <w:t>As our industry grows, we may be subject to an increasing amount of litigation that is common in the software industry based on allegations of infringement or other alleged violations of patent, copyright, or trademarks. In addition, we believe that interactive entertainment software will increasingly become the subject of claims that such software infringes on the intellectual property rights of others with both the growth of online functionality and advances in technology, game content and software graphics as games become more realistic. From time to time, we may receive notices from third parties or be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competitive position would be harmed.</w:t>
      </w:r>
    </w:p>
    <w:p>
      <w:pPr>
        <w:spacing w:after="0" w:line="19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rely on trade secrets and proprietary knowledge to protect our unpatented know-how, expertise, technology and other proprietary information and to maintain our competitive position. We enter into nondisclosure and confidentiality agreements with our employees and independent contractors regarding our trade secrets and proprietary information in order to limit access to, and disclosure and use of, our trade secrets and proprietary information. Nevertheless, we cannot guarantee that we have entered into such agreements with each party that may have or has had access to our trade secrets or proprietary information. Furthermore, trade secrets are difficult to protect. We cannot assure you that the obligation to maintain the confidentiality of our trade secrets and proprietary information will be honored.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If any of our trade secrets were to be lawfully obtained or independently developed by a competitor or other third party, we would have no right to prevent them, or those to whom they communicate it, from using that technology or information to compete with us. If any of our material trade secrets were to be disclosed to or independently developed by a competitor, our competitive position would be harmed. In general, any loss of trade secret protection or other unpatented proprietary rights could harm our business, financial condition, results of operations, and prospects.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26" w:name="page27"/>
    <w:bookmarkEnd w:id="26"/>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4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Many of our employees, consultants and advisors are currently or were previously employed at other companies in our field, including our competitors or potential competitors. Many of them executed proprietary rights, non-disclosure and/or non-competition agreements in connection with such previous employment or engagement. Although we try to ensure that our employees, consultants, and advisors do not use the intellectual property rights, proprietary information know-how or trade secrets of others in their work for us, we may be subject to claims that we or they have, inadvertently or otherwise, used, infringed, misappropriated or otherwise violated intellectual property rights, or disclosed the alleged trade secrets or other proprietary information, of any such individual’s current or former employer. Litigation may be necessary to defend against these claims. Any litigation or the threat of litigation may adversely affect our ability to hire employees or engage consultants and contractors. A loss of key personnel or their work product could hamper or prevent us from developing and commercializing products and product candidates, which could harm our business.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develops and/or reduces to practice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16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Accordingly, if we fail in prosecuting or defending any such claims, we may be required to pay monetary damages, and we may also lose valuable intellectual property rights or personnel, which could harm our competitive position and prospects. Such intellectual property rights could be awarded to a third-party, and we could be required to obtain a license from such third-party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become involved in lawsuits to protect or enforce our intellectual property, which could be expensive, time-consuming and unsuccessful.</w:t>
      </w:r>
    </w:p>
    <w:p>
      <w:pPr>
        <w:spacing w:after="0" w:line="196"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Third parties, including our competitors, could be infringing, misappropriating or otherwise violating our owned and licensed trademarks, trade secrets or other intellectual property rights. Monitoring unauthorized use of our intellectual property is difficult, time-consuming and costly. The steps we have taken to protect our proprietary rights may not be adequate to enforce our rights against infringement, misappropriation or other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games.</w:t>
      </w:r>
    </w:p>
    <w:p>
      <w:pPr>
        <w:spacing w:after="0" w:line="16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In the future, we may make claims of infringement or misappropriation against third parties, or make claims that third-party intellectual property rights are invalid or unenforceable. These claims could:</w:t>
      </w:r>
    </w:p>
    <w:p>
      <w:pPr>
        <w:spacing w:after="0" w:line="150" w:lineRule="exact"/>
        <w:rPr>
          <w:sz w:val="20"/>
          <w:szCs w:val="20"/>
          <w:color w:val="auto"/>
        </w:rPr>
      </w:pPr>
    </w:p>
    <w:p>
      <w:pPr>
        <w:ind w:left="840" w:hanging="282"/>
        <w:spacing w:after="0"/>
        <w:tabs>
          <w:tab w:leader="none" w:pos="8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us to incur greater costs and expenses in the protection of our intellectual property;</w:t>
      </w:r>
    </w:p>
    <w:p>
      <w:pPr>
        <w:spacing w:after="0" w:line="192" w:lineRule="exact"/>
        <w:rPr>
          <w:rFonts w:ascii="Times New Roman" w:cs="Times New Roman" w:eastAsia="Times New Roman" w:hAnsi="Times New Roman"/>
          <w:sz w:val="16"/>
          <w:szCs w:val="16"/>
          <w:color w:val="auto"/>
        </w:rPr>
      </w:pPr>
    </w:p>
    <w:p>
      <w:pPr>
        <w:ind w:left="840" w:hanging="282"/>
        <w:spacing w:after="0" w:line="270" w:lineRule="auto"/>
        <w:tabs>
          <w:tab w:leader="none" w:pos="8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negatively impact our intellectual property rights, for example, by causing one or more of our intellectual property rights to be ruled or rendered unenforceable or invalid; or</w:t>
      </w:r>
    </w:p>
    <w:p>
      <w:pPr>
        <w:spacing w:after="0" w:line="150" w:lineRule="exact"/>
        <w:rPr>
          <w:rFonts w:ascii="Times New Roman" w:cs="Times New Roman" w:eastAsia="Times New Roman" w:hAnsi="Times New Roman"/>
          <w:sz w:val="16"/>
          <w:szCs w:val="16"/>
          <w:color w:val="auto"/>
        </w:rPr>
      </w:pPr>
    </w:p>
    <w:p>
      <w:pPr>
        <w:jc w:val="both"/>
        <w:ind w:left="840" w:right="20" w:hanging="282"/>
        <w:spacing w:after="0" w:line="276" w:lineRule="auto"/>
        <w:tabs>
          <w:tab w:leader="none" w:pos="8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divert our technical personnel’s or management’s attention and our resources. In any lawsuit we bring to enforce our intellectual property rights, a court may refuse to stop the other party from using the technology at issue on grounds that our intellectual property rights do not cover the technology in question, are not valid, or otherwise not enforceable against such other party. Further, in such proceedings, the defendant could counterclaim that our intellectual property is invalid or unenforceable and the court may agree, in which case we could lose valuable intellectual property rights. The outcome in any such lawsuit is unpredictable.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27" w:name="page28"/>
    <w:bookmarkEnd w:id="27"/>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Litigation or other legal proceedings relating to intellectual property claims, even if resolved in our favor,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or cause reputational harm.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intellectual property proceedings could harm our ability to compete in the marketplace. In addition, because of the substantial amount of discovery required in connection with intellectual property litigation, there is a risk that some of our confidential information or trade secrets could be compromised by disclosure during this type of litigation. Any of the foregoing could harm our competitive position, business, financial condition, results of operations and prospects. For more information, see Item 3 of Part I, “Legal Proceedings.”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or our licensors may not be able to enforce our intellectual property rights throughout the world.</w:t>
      </w:r>
    </w:p>
    <w:p>
      <w:pPr>
        <w:spacing w:after="0" w:line="19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or our licensors may be required to protect our proprietary technology and content in an increasing number of jurisdictions, a process that is expensive and may not be successful, or which we or our licensors may not pursue in every location due to costs, complexities or other reasons. Filing, prosecuting, maintaining, defending, and enforcing our owned or in-licensed intellectual property rights in all jurisdictions throughout the world would be prohibitively expensive, and our intellectual property rights in some jurisdictions outside the United States may be less extensive than those in the United States. Competitors may use our technologies in jurisdictions where we have not obtained intellectual property protection to develop their own games and, further, may export otherwise infringing, misappropriating, or otherwise violating games to territories where we have intellectual property protection, but enforcement is not as strong as that in the United States. These games may compete with our games, and our intellectual property rights may not be effective or sufficient to prevent such competition. In addition, the laws of some foreign jurisdictions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jurisdictions, particularly developing countries, do not favor the enforcement of intellectual property protection. This could make it difficult for us to stop the infringement, misappropriation or other violation of our intellectual property rights. Accordingly, we or our licensors may choose not to seek protection in certain jurisdictions, and we will not have the benefit of protection in such jurisdictions. Proceedings to enforce our intellectual property rights in foreign jurisdictions could result in substantial costs and divert our efforts and attention from other aspects of our business. Accordingly, our or our licensors’ efforts to protect our intellectual property rights in such jurisdictions may be inadequate. In addition, changes in the law and legal decisions by courts in the United States and foreign jurisdictions may affect our ability to obtain adequate protection for our games and other technologies and the enforcement of intellectual property rights. Any of the foregoing could harm our competitive position, business, financial condition, results of operations and prospects.</w:t>
      </w:r>
    </w:p>
    <w:p>
      <w:pPr>
        <w:spacing w:after="0" w:line="16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4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registered or unregistered trademarks or trade names that we own or license may be challenged, infringed, circumvented, declared generic, lapsed or determined to be infringing on or dilutive of other trademarks. We may not be able to protect our rights in these trademarks and trade names, which we need in order to build name recognition. In addition, third parties have filed, and may in the future file, for registration of trademarks similar or identical to our owned or licensed trademarks, thereby impeding our ability to build brand identity and possibly leading to market confusion. If such third parties succeed in registering or developing common law rights in such trademarks, and if we are not successful in challenging such third-party rights, we may not be able to use these trademarks to develop brand recognition of our games. In addition, there could be potential trade name or trademark infringement claims brought by owners of other registered trademarks or trademarks that incorporate variations of our registered or unregistered owned or licensed trademarks or trade names. If we are unable to establish or protect our trademarks and trade names, or if we are unable to build name recognition based on our owned or licensed trademarks and trade names, we may not be able to compete effectively, which could harm our competitive position, business, financial condition, results of operations and prospects.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28" w:name="page29"/>
    <w:bookmarkEnd w:id="28"/>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4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use open source software in connection with some of the games and services we offer and may continue to use open source software in the future.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re-engineer our games or products, discontinue distribution in the event re-engineering cannot be accomplished on a timely basis, or take other remedial action that may divert resources away from our game development efforts, any of which could negatively impact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Legal or Regulatory Compliance</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b w:val="1"/>
          <w:bCs w:val="1"/>
          <w:i w:val="1"/>
          <w:iCs w:val="1"/>
          <w:color w:val="auto"/>
        </w:rPr>
        <w:t>Changing data privacy and security laws and regulations in the jurisdictions in which we or our consumers do business could increase the cost of our operations and subject us to possible sanctions, civil lawsuits (including class action or similar representative lawsuits) and other penalties; such laws and regulations are continually evolving. Our platform and service providers’ actual or perceived failure to comply with these laws and regulations could harm our business financial condition and results of operations.</w:t>
      </w:r>
    </w:p>
    <w:p>
      <w:pPr>
        <w:spacing w:after="0" w:line="14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collect, process, store, use and share data in our operations. While our business receives limited, if any, personal information of our end users from our platform providers, we may elect to collect such information in the future. Our business and the business of our platform providers are therefore subject to a number of federal, state, local and foreign laws, regulations, regulatory codes and guidelines governing data privacy, data protection and security, including with respect to the collection, storage, use, processing, transmission, sharing and protection of personal information. Such laws, regulations, regulatory codes and guidelines may be inconsistent across jurisdictions or conflict with other rules.</w:t>
      </w:r>
    </w:p>
    <w:p>
      <w:pPr>
        <w:spacing w:after="0" w:line="166" w:lineRule="exact"/>
        <w:rPr>
          <w:sz w:val="20"/>
          <w:szCs w:val="20"/>
          <w:color w:val="auto"/>
        </w:rPr>
      </w:pPr>
    </w:p>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The legislative and regulatory landscapes for data privacy and security continue to evolve in jurisdictions worldwide, with an increasing focus on privacy and data protection issues with the potential to affect our business. In the United States, such privacy and data security laws and regulations include federal laws and regulations like the federal Controlling the Assault of Non-Solicited Pornography and Marketing Act, the Telephone Consumer Protection Act, the Do-Not-Call Implementation Act, and rules and regulations promulgated under the authority of the Federal Trade Commission and state laws like the California Consumer Privacy Act (“CCPA”) and the varying data breach notification laws that have been enacted in all 50 U.S. states and the District of Columbia. The CCPA, which became effective on January 1, 2020 and became enforceable by the California Attorney General on July 1, 2020, along with related regulations that came into force on August 14, 2020, provides additional individual privacy rights for California residents and places increased data privacy and security obligations on entities handling certain personal information of California residents and households. Among other things, the CCPA expands rights related to such individual’s personal information, including the right to access and require deletion of their personal information, opt out of certain personal information sharing, and receive detailed information about how their personal information is collected, used, and shared by covered business. Many of the CCPA’s requirements as applied to personal information obtained in a business to business context, as well as personal information of a business’s personnel and related individuals, were subject to a moratorium that expired on January 1, 2023. The CCPA provides for civil penalties for violations, as well as a private right of action and statutory damages for security breaches that may increase security breach litigation. The effects of the CCPA are significant and have required, and could continue to require, us to modify our data collection or processing practices and policies and to incur substantial costs and expenses in an effort to comply. Some observers have noted that the CCPA could mark the beginning of a trend toward more stringent state privacy legislation in the U.S., which could increase our potential liability and adversely affect our business. Further, in November 2020, California voters passed the California Privacy Rights Act (“CPRA”). The CPRA, which came into effect in most material respects on January 1, 2023 with a one-year look back period, significantly amended and expanded existing CCPA requirements, including, among other things, by introducing additional obligations such as data minimization and storage limitations on the sharing of personal information for cross on text behavioral advertising and on the use of “sensitive” personal information, granting additional rights to consumers, such as correction of personal information and additional opt-out rights, and creating a new entity, the California Privacy Protection Agency, to implement and enforce the law and impose administrative fines. There currently are a number of additional proposals related to data privacy or security pending before federal, state, and foreign legislative and regulatory bodies, including in a number of U.S. states considering comprehensive consumer protection laws. States such as Virginia, Colorado, Utah and Connecticut have passed comprehensive data privacy laws that have become effective, or will become effective in the near future. Such legislation may add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29" w:name="page30"/>
    <w:bookmarkEnd w:id="29"/>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Many of the other jurisdictions where we or our customers do business, including the EU, also have restrictive laws and regulations dealing with the processing of personal information.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the European Union’s Regulation (EU) 2016/679 of the European Parliament and of the Council of 27 April 2016 on the protection of natural persons with regard to the processing of personal data and on the free movement of such data, and repealing Directive 95/46/EC (the “General Data Protection Regulation” or “GDPR”) became effective in May 2018, imposes strict requirements on controllers and processors of personal data in the European Economic Area (“EEA”), including, for example, higher standards for obtaining consent from individuals to process their personal data, more robust disclosures to individuals and a strengthened individual data rights regime, greater control for data subjects (including the “right to be forgotten” and data portability) and shortened timelines for data breach notifications. The GDPR created new compliance obligations applicable to our business and our platform and service providers,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Failure to comply with the requirements of GDPR may result in significant fines of up to €20,000,000 or up to 4% of the total worldwide annual turnover of the preceding financial year, whichever is higher, and other administrative penalties. The United Kingdom operates a separate but similar regime to the European Union with which we will have to comply and that allows for fines of up to the greater of £17.5 million or 4% of the total worldwide annual turn over of the preceding financial year. Further, beginning January 1, 2021, we have been required to comply with the GDPR and also the United Kingdom GDPR (“UK GDPR”), which, together with the amended United Kingdom Data Protection Act 2018, retains the GDPR in United Kingdom national law. The relationship between the United Kingdom and the European Union in relation to certain aspects of data protection law remains unclear, and it is unclear how the United Kingdom’s data protection laws and regulations will develop in the medium to longer term, and how data transfers to and from the United Kingdom will be regulated in the long term. For example, while the EU Commission has adopted an adequacy decision in favor of the United Kingdom, enabling data transfers from European Union member states to the United Kingdom without additional safeguards, the decision will automatically expire in June 2025 unless the EU Commission re-assesses and renews/extends it. These changes may lead to additional costs and increase our overall risk exposure.</w:t>
      </w:r>
    </w:p>
    <w:p>
      <w:pPr>
        <w:spacing w:after="0" w:line="178"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Recent legal developments also have created compliance uncertainty regarding the transfer of personal information from the U.K. and EEA to certain locations outside of the U.K. and EEA where we or our clients operate or conduct business. In July 2020, the Court of Justice of the European Union (“CJEU”) ruled the EU-US Privacy Shield Framework, one of the primary safeguards that allowed U.S. companies to import personal data from the EU to the U.S., was invalid. The CJEU’s decision also raised questions about whether the most commonly used mechanism for cross-border transfers of personal data out of the EEA, namely, the European Commission’s Standard Contractual Clauses, can lawfully be used for personal data transfers from the EU to the U.S. or other third countries the European Commission has determined do not provide adequate data protections under their laws. On June 4, 2021, the European Commission published new Standard Contractual Clauses (which became effective on June 27, 2021), which impose on companies additional obligations relating to data transfers, including in the transfer, to implement additional security measures and update internal privacy practices. If we elect to rely on the new Standard Contractual Clauses for applicable data transfers, we may be required to incur significant time and resources to update our contractual arrangements and to comply with new obligations. If we are unable to implement a valid mechanism for personal data transfers from the EEA, we could face increased exposure to regulatory actions, substantial fines and injunctions against processing personal data from the EEA. As discussed above, these same considerations must currently be taken into account with regard to the UK GDPR as well. Additionally, other countries outside of the EU have enacted or are considering enacting similar cross order data transfer restrictions and laws requiring local data residency, which could increase the cost and complexity of delivering our services and operating our business. The type of challenges we face in the EU and U.K. will likely also arise in other jurisdictions that adopt regulatory frameworks of equivalent complexity. Accordingly, any actual or perceived failure to comply with these laws and regulations could harm our business, financial condition and results of operations.</w:t>
      </w:r>
    </w:p>
    <w:p>
      <w:pPr>
        <w:spacing w:after="0" w:line="16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business and products are subject to potential legislation and other governmental restrictions. The adoption of such proposed legislation and restrictions could limit the retail market for our products.</w:t>
      </w:r>
    </w:p>
    <w:p>
      <w:pPr>
        <w:spacing w:after="0" w:line="145"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Several proposals have been made for federal legislation to regulate our industry. Such proposals seek to prohibit the sale of products containing certain content included in some of our games. If any such proposals are enacted into law, it may limit the potential market for some of our games in the United States, and adversely affect our business, financial condition and operating results. Other countries have adopted laws regulating content both in packaged games and those transmitted over the Internet that are stricter than current U.S. law. While no such laws are currently in place in the United States, the adoption into law of such legislation in jurisdictions in which we do significant business could severely limit the retail market for some of our games.</w:t>
      </w:r>
    </w:p>
    <w:p>
      <w:pPr>
        <w:spacing w:after="0" w:line="16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On August 30, 2021, China’s National Press and Publication Administration announced a new regulation that required online gaming companies limit their services provided to minors to one hour per day on Fridays, Saturdays, Sundays and public holidays. We continue to assess the impact this new regulation may have on our results of operations however, at this time, the impact of this new regulation remains uncertain.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government regulations relating to the Internet could have a negative impact on our business.</w:t>
      </w:r>
    </w:p>
    <w:p>
      <w:pPr>
        <w:spacing w:after="0" w:line="19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affecting “net neutrality” or measures enacted in certain jurisdictions as a result of the COVID-19 pandemic, could decrease the demand for our products and services or increase our cost of doing business.</w:t>
      </w:r>
    </w:p>
    <w:p>
      <w:pPr>
        <w:spacing w:after="0" w:line="159"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on December 14, 2017, the Federal Communications Commission voted to repeal net neutrality regulations in the United States, and, following that decision, several states enacted net neutrality regulations. Given the uncertainty around these rules, including changing interpretations, amendments or repeal,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affect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involved in legal proceedings that have a negative impact on our business.</w:t>
      </w:r>
    </w:p>
    <w:p>
      <w:pPr>
        <w:spacing w:after="0" w:line="19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From time to time, we have been, and in the future may be, involved in claims, suits, investigations, audits and proceedings arising in the ordinary course of our business, including with respect to labor and employment, intellectual property, competition and antitrust, regulatory, tax, privacy and/or commercial matters. In addition, negative consumer sentiment about our business practices may result in inquiries or investigations from regulatory agencies and consumer groups, as well as litigation.</w:t>
      </w:r>
    </w:p>
    <w:p>
      <w:pPr>
        <w:spacing w:after="0" w:line="159"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Claims, suits, investigations, audits and proceedings are inherently difficult to predict, and their results are subject to significant uncertainties, many of which are outside of our control. Regardless of the outcome, such legal proceedings can have a negative impact on us due to reputational harm, legal costs, diversion of management resources and other factors. It is also possible that a resolution of one or more such proceedings could result in substantial settlements, judgments, fines or penalties, injunctions, criminal sanctions, consent decrees or orders preventing us from offering certain features, functionalities, products or services, requiring us to change our development process or other business practices.</w:t>
      </w:r>
    </w:p>
    <w:p>
      <w:pPr>
        <w:spacing w:after="0" w:line="16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There is also inherent uncertainty in determining reserves for these matters. Significant judgment is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w:t>
      </w:r>
    </w:p>
    <w:p>
      <w:pPr>
        <w:spacing w:after="0" w:line="16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regard our software as proprietary and rely on a variety of methods, including a combination of copyright, patent, trademark and trade secret laws, and employee and third-party non-disclosure and invention assignment agreements, to protect our proprietary rights. We own or license various copyrights, patents, trademarks and trade secrets. The process of registering and protecting these rights in various jurisdictions is expensive and time-consuming. Further, we are aware that some unauthorized copying and piracy occurs, and if a significantly greater amount of unauthorized copying or piracy of our software products were to occur, it could negatively impact our business. We also cannot be certain that existing intellectual property laws will provide adequate protection for our products in connection with emerging technologies or that we will be able to effectively protect our intellectual property through litigation and other means.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and Economic Risks</w:t>
      </w:r>
    </w:p>
    <w:p>
      <w:pPr>
        <w:spacing w:after="0" w:line="19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general economic conditions decline, demand for our games could decline. In addition, our business is vulnerable to changing economic conditions and to other factors that adversely affect the gaming industry, which could negatively impact our business.</w:t>
      </w:r>
    </w:p>
    <w:p>
      <w:pPr>
        <w:spacing w:after="0" w:line="14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In-game purchases involve discretionary spending on the part of consumers. Consumers are generally more willing to make discretionary purchases, including purchases of games and services like ours, during periods in which favorable economic conditions prevail. As a result, our games may be sensitive to general economic conditions and economic cycles. A reduction or shift in domestic or international consumer spending could result in an increase in our marketing and promotional expenses, in an effort to offset that reduction, and could negatively impact our business. Discretionary spending on entertainment activities could further decline for reasons beyond our control, such as natural disasters, acts of war, pandemics, terrorism, transportation disruptions or the results of adverse weather conditions. Additionally, disposable income available for discretionary spending may be reduced by unemployment, higher housing, energy, interest or other costs, or where the actual or perceived wealth of customers has decreased because of circumstances such as lower residential real estate values, increased foreclosure rates, inflation, increased tax rates or other economic disruptions. Any prolonged or significant decrease in consumer spending on entertainment activities could result in reduced play levels and decreased spending on our games, and could adversely impact our results of operations, cash flows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tax laws or tax rulings, or the examination of our tax positions, could materially affect our financial condition and results of operations.</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take advantage of could be undermined due to changing tax laws, both in the United States and in other applicable jurisdictions. In addition, the taxing authorities in the United States and other jurisdictions where we do business regularly examine income and other tax returns and we expect that they may examine our income and other tax returns. The ultimate outcome of these examinations cannot be predicted with certainty.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law or tax rate changes could affect our effective tax rate and future profitability.</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Our effective tax rate was 20.9% for the year ended December 31, 2023 and 168.5% for the year ended December 31, 2022.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i w:val="1"/>
          <w:iCs w:val="1"/>
          <w:color w:val="auto"/>
        </w:rPr>
        <w:t>The realization of the Company’s deferred tax assets is contingent upon the Company’s upcoming new game releases to generate sufficient taxable income.</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 xml:space="preserve">The Company assesses the need for valuation allowances against deferred tax assets based on estimates and judgements about future taxable income. In the event the Company’s game releases are delayed, are ill received, or do not meet the Company’s estimates, the deferred tax assets may not be realizable. As such, the Company may need to record a valuation allowance to reflect the likelihood that the deferred tax assets will not be realized, which could have a material impact on our financial position. See Note 16 - </w:t>
      </w:r>
      <w:r>
        <w:rPr>
          <w:rFonts w:ascii="Times New Roman" w:cs="Times New Roman" w:eastAsia="Times New Roman" w:hAnsi="Times New Roman"/>
          <w:sz w:val="16"/>
          <w:szCs w:val="16"/>
          <w:i w:val="1"/>
          <w:iCs w:val="1"/>
          <w:color w:val="auto"/>
        </w:rPr>
        <w:t>Income Taxes to our audited consolidated financial statements included in this Annual Report</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reported financial results could be significantly impacted by changes in financial accounting standards or by the application of existing or future accounting standards to our business as it evolves.</w:t>
      </w:r>
    </w:p>
    <w:p>
      <w:pPr>
        <w:spacing w:after="0" w:line="14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video games that include an online service on a deferred basis over an estimated service period for such games. In addition, we defer the cost of revenues of those products. Further, as we increase our DLC and add new features to our online services, our estimate of the service period may change,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and income taxes, could have a significant impact on our reported net revenues, net income and earnings per share under generally accepted accounting principles in the United States in any given period.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Company has debt obligations with short term durations that are coming due within one year.</w:t>
      </w:r>
    </w:p>
    <w:p>
      <w:pPr>
        <w:spacing w:after="0" w:line="196"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 xml:space="preserve">We have significant debt obligations coming due within one year. Our current revolving loan has a balance of $6.0 million as of December 31, 2023, and is due for repayment on December 31, 2024. In January 2024, the Company repaid $3.0 million of the revolving loan balance. Our short-term note has a balance of $0.8 million as of December 31, 2023, and has been fully repaid in January 2024. On August 24, 2023, the Company issued convertible notes at a 7.4% discount and a principal balance of $1,080,000. The notes have an interest rate of 7.5%, will be paid in consecutive monthly installments beginning February 24, 2024 and if the note is not converted, it will mature on May 24, 2024. In February 2024, the Company made the first payments of principle and accrued interest in the amount of $312,075, and the convertible note holders converted 71,460 shares for an aggregate value of $60,000. The Company paid an additional $275,063 of accrued interest and principal on its convertible notes balance in April 2024. The Company has an additional $1.5 million note payable, at December 31, 2023, which it repaid in the first quarter of 2024. The Company intends to extend the revolving loan and renew the short-term note debt arrangement and faces the risk that we will be unable to. If we are unable to extend the revolving loan or renew the debt arrangement, the Company may have significantly reduced unrestricted and restricted cash which could adversely impact our results of operations and ability to invest in the development and acquisition of IP. See Note 15 – </w:t>
      </w:r>
      <w:r>
        <w:rPr>
          <w:rFonts w:ascii="Times New Roman" w:cs="Times New Roman" w:eastAsia="Times New Roman" w:hAnsi="Times New Roman"/>
          <w:sz w:val="15"/>
          <w:szCs w:val="15"/>
          <w:i w:val="1"/>
          <w:iCs w:val="1"/>
          <w:color w:val="auto"/>
        </w:rPr>
        <w:t>Revolving Loan, Short Term Note and Long-Term Debt</w:t>
      </w:r>
      <w:r>
        <w:rPr>
          <w:rFonts w:ascii="Times New Roman" w:cs="Times New Roman" w:eastAsia="Times New Roman" w:hAnsi="Times New Roman"/>
          <w:sz w:val="15"/>
          <w:szCs w:val="15"/>
          <w:color w:val="auto"/>
        </w:rPr>
        <w:t xml:space="preserve"> to our audited consolidated financial statements included in this Annual Report.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color w:val="auto"/>
        </w:rPr>
        <w:t>Risks Related to Our Corporate Structure</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are a “controlled company” under the corporate governance rules of Nasdaq and, as a result, qualify for and rely on exemptions from certain corporate governance requirements. Since we elected to rely on the exemptions available to a “controlled company,” you do not have the same protections afforded to stockholders of companies that are subject to such corporate governance requirements.</w:t>
      </w:r>
    </w:p>
    <w:p>
      <w:pPr>
        <w:spacing w:after="0" w:line="158" w:lineRule="exact"/>
        <w:rPr>
          <w:sz w:val="20"/>
          <w:szCs w:val="20"/>
          <w:color w:val="auto"/>
        </w:rPr>
      </w:pPr>
    </w:p>
    <w:p>
      <w:pPr>
        <w:jc w:val="both"/>
        <w:ind w:firstLine="282"/>
        <w:spacing w:after="0" w:line="283" w:lineRule="auto"/>
        <w:rPr>
          <w:sz w:val="20"/>
          <w:szCs w:val="20"/>
          <w:color w:val="auto"/>
        </w:rPr>
      </w:pPr>
      <w:r>
        <w:rPr>
          <w:rFonts w:ascii="Times New Roman" w:cs="Times New Roman" w:eastAsia="Times New Roman" w:hAnsi="Times New Roman"/>
          <w:sz w:val="15"/>
          <w:szCs w:val="15"/>
          <w:color w:val="auto"/>
        </w:rPr>
        <w:t>Our controlling stockholder, Founder, Chief Strategy Officer and Chairman, Mr. Shi, controls a majority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142" w:lineRule="exact"/>
        <w:rPr>
          <w:sz w:val="20"/>
          <w:szCs w:val="20"/>
          <w:color w:val="auto"/>
        </w:rPr>
      </w:pPr>
    </w:p>
    <w:p>
      <w:pPr>
        <w:ind w:left="840" w:hanging="282"/>
        <w:spacing w:after="0"/>
        <w:tabs>
          <w:tab w:leader="none" w:pos="8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 that a majority of its board of directors consist of independent directors;</w:t>
      </w:r>
    </w:p>
    <w:p>
      <w:pPr>
        <w:spacing w:after="0" w:line="192" w:lineRule="exact"/>
        <w:rPr>
          <w:rFonts w:ascii="Times New Roman" w:cs="Times New Roman" w:eastAsia="Times New Roman" w:hAnsi="Times New Roman"/>
          <w:sz w:val="16"/>
          <w:szCs w:val="16"/>
          <w:color w:val="auto"/>
        </w:rPr>
      </w:pPr>
    </w:p>
    <w:p>
      <w:pPr>
        <w:ind w:left="840" w:hanging="282"/>
        <w:spacing w:after="0" w:line="270" w:lineRule="auto"/>
        <w:tabs>
          <w:tab w:leader="none" w:pos="8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p>
      <w:pPr>
        <w:spacing w:after="0" w:line="150" w:lineRule="exact"/>
        <w:rPr>
          <w:rFonts w:ascii="Times New Roman" w:cs="Times New Roman" w:eastAsia="Times New Roman" w:hAnsi="Times New Roman"/>
          <w:sz w:val="16"/>
          <w:szCs w:val="16"/>
          <w:color w:val="auto"/>
        </w:rPr>
      </w:pPr>
    </w:p>
    <w:p>
      <w:pPr>
        <w:ind w:left="840" w:hanging="282"/>
        <w:spacing w:after="0" w:line="270" w:lineRule="auto"/>
        <w:tabs>
          <w:tab w:leader="none" w:pos="8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it has a compensation committee that is composed entirely of independent directors with a written charter addressing the committee’s purpose and responsibilities.</w:t>
      </w:r>
    </w:p>
    <w:p>
      <w:pPr>
        <w:spacing w:after="0" w:line="150"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elected to rely on these exemptions. As a result, our board of directors does not have a majority of independent directors, our compensation committee does not consist entirely of independent directors and our directors are not nominated or selected by independent directors. Accordingly, you do not have the same protections afforded to stockholders of companies that are subject to all of the corporate governance requirements of the Nasdaq rules.</w:t>
      </w:r>
    </w:p>
    <w:p>
      <w:pPr>
        <w:spacing w:after="0" w:line="15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Mr. Shi, our Founder, Chief Strategy Officer and Chairman, controls us, and his ownership of our common stock prevents you and other stockholders from influencing significant decisions.</w:t>
      </w:r>
    </w:p>
    <w:p>
      <w:pPr>
        <w:spacing w:after="0" w:line="145"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Mr. Shi controls shares representing a majority of our combined voting power. As long as Mr. Shi continues to control shares representing a majority of our voting power, he will generally be able to determine the outcome of all corporate actions requiring stockholder approval, including the election and removal of directors (unless supermajority approval of such matter is required by applicable law and our amended and restated certificate of incorporation). In the ordinary course of his business activities, Mr. Shi may engage in activities where his interests may not be the same as, or may conflict with, the interests of our other stockholders. Even if Mr. Shi were to control less than a majority of our voting power, he may be able to influence the outcome of corporate actions so long as he controls a significant portion of our voting power.</w:t>
      </w:r>
    </w:p>
    <w:p>
      <w:pPr>
        <w:spacing w:after="0" w:line="16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stockholders are not able to affect the outcome of any stockholder vote while Mr. Shi controls the majority of our voting power (or, in the case of removal of directors, two-thirds of our voting power). Due to his ownership and rights under our amended and restated certificate of incorporation and our amended and restated bylaws, Mr. Shi controls, subject to applicable law, the composition of our board of directors, which in turn controls all matters affecting us, including, among other things:</w:t>
      </w:r>
    </w:p>
    <w:p>
      <w:pPr>
        <w:spacing w:after="0" w:line="159" w:lineRule="exact"/>
        <w:rPr>
          <w:sz w:val="20"/>
          <w:szCs w:val="20"/>
          <w:color w:val="auto"/>
        </w:rPr>
      </w:pPr>
    </w:p>
    <w:p>
      <w:pPr>
        <w:ind w:left="840" w:hanging="282"/>
        <w:spacing w:after="0" w:line="270" w:lineRule="auto"/>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determination with respect to our business direction and policies, including the appointment and removal of officers and, in the event of a vacancy on our board of directors, additional or replacement directors;</w:t>
      </w:r>
    </w:p>
    <w:p>
      <w:pPr>
        <w:spacing w:after="0" w:line="150"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determinations with respect to mergers, business combinations or dispositions of assets;</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our management policies;</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composition of the committees on our board of directors;</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financing policy;</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compensation and benefit programs and other human resources policy decisions;</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any other agreements that may adversely affect us;</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 of dividends on our common stock; and</w:t>
      </w:r>
    </w:p>
    <w:p>
      <w:pPr>
        <w:spacing w:after="0" w:line="192"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determinations with respect to our tax returns.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33" w:name="page34"/>
    <w:bookmarkEnd w:id="33"/>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In addition, the concentration of Mr. Shi’s ownership could also discourage others from making tender offers, which could prevent holders from receiving a premium for their common stock. Because Mr. Shi’s interests may differ from ours or from those of our other stockholders, actions that he takes with respect to us, as our controlling stockholder, may not be favorable to us or to you or our other stockholders.</w:t>
      </w:r>
    </w:p>
    <w:p>
      <w:pPr>
        <w:spacing w:after="0" w:line="15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Mr. Shi, our Founder, Chief Strategy Officer and Chairman, is a Chinese national. For so long as a Chinese individual continues to exercise majority voting control over us, changes in U.S. and Chinese laws in the future may make it more difficult for us to operate as a publicly traded company in the United States.</w:t>
      </w:r>
    </w:p>
    <w:p>
      <w:pPr>
        <w:spacing w:after="0" w:line="145"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Future developments in U.S. and Chinese laws may restrict our ability or willingness to operate as a publicly traded company in the United States for so long as Mr. Shi, who is a Chinese national, or other Chinese investors, continue to beneficially own a significant percentage of our outstanding shares of common stock. The relations between the United States and China are constantly changing. During his administration, President Donald J. Trump issued a memorandum directing the President’s Working Group on Financial Markets to convene to discuss the risks faced by U.S. investors in Chinese companies and issued several executive orders restricting the operations of Chinese companies, such as the company that owns TikTok, in the United States. Additionally, the federal government has recently proposed legislation intended to protect American investments in Chinese companies. President Joseph R. Biden has not put forth specific policy proposals regarding China and it is unclear at this time which of President Trump’s policies, if any, President Biden will continue to implement. In addition, various equity-based research organizations have published reports on Chinese companies after examining their corporate governance practices, related party transactions, sales practices and financial statements, and these reports have led to special investigations and listing suspensions on U.S. national exchanges. While we are not a Chinese company, any similar scrutiny of us, regardless of its merit, could have an adverse effect upon our business, including our results of operations, financial condition, cash flows and prospects. Additionally, should we be the subject of or indirectly covered by new legislation or executive orders addressed at protecting American investments in Chinese or Chinese-owned companies, our revenues and profitability would be materially reduced, and our business and results of operations would be seriously harmed.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Committee on Foreign Investment in the United States may modify, delay or prevent our future acquisition or investment activities.</w:t>
      </w:r>
    </w:p>
    <w:p>
      <w:pPr>
        <w:spacing w:after="0" w:line="196"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For so long as Mr. Shi retains a material ownership interest in us, we will be deemed a “foreign person” under the regulations relating to the Committee on Foreign Investment in the United States (“CFIUS”). As such, acquisitions of or investments in U.S. businesses or foreign businesses with U.S. subsidiaries that we may wish to pursue may be subject to CFIUS review, the scope of which was expanded by the Foreign Investment Risk Review Modernization Act of 2018 (“FIRRMA”) to include certain non-passive, non-controlling investments (including certain investments in entities that hold or process personal information about U.S. nationals), certain acquisitions of real estate even with no underlying U.S. business, transactions designed or intended to evade or circumvent CFIUS jurisdiction and any transaction resulting in a “change in the rights” of a foreign person in a U.S. business if that change could result in either control of the business or a covered non-controlling investment. FIRRMA also subjects certain categories of investments to mandatory filings. If a particular proposed acquisition or investment in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an acquisition or investment by us, impose conditions with respect to such acquisition or investment or order us to divest all or a portion of a U.S. business that we acquired without first obtaining CFIUS approval, which may limit the attractiveness of or prevent us from pursuing certain acquisitions or investments that we believe would otherwise be beneficial to us and our stockholders. Our inability to complete acquisitions and integrate those businesses successfully could limit our growth or disrupt our plans and operations. In addition, among other things, FIRRMA authorizes CFIUS to prescribe regulations defining “foreign person” differently in different contexts, which could result in less favorable treatment for investments and acquisitions by companies from countries of “special concern.” If CFIUS were to promulgate regulations imposing additional burdens on acquisition and investment activities involving China or Chinese investor-controlled entities, our ability to consummate transactions falling within CFIUS’s jurisdiction that might otherwise be beneficial to us and our stockholders would be hindered.</w:t>
      </w:r>
    </w:p>
    <w:p>
      <w:pPr>
        <w:spacing w:after="0" w:line="15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Hua Yuan International Limited, a minority stockholder, is indirectly controlled by China-Singapore Suzhou Industrial Park Ventures Co., Ltd., a Chinese state-owned entity, which could subject us to risks involving U.S. -China relations and related risks.</w:t>
      </w:r>
    </w:p>
    <w:p>
      <w:pPr>
        <w:spacing w:after="0" w:line="14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Hua Yuan International Limited, which beneficially owned 8.7% of our common stock and controlled 1.1% of our voting power during the year ended December 31, 2023, is indirectly controlled by China-Singapore Suzhou Industrial Park Ventures Co., Ltd., a Chinese state-owned entity. Recent political and economic tensions between the United States and China have negatively impacted certain public companies with stockholders that are Chinese state-owned entities. For example, in May 2021, three telecommunications companies with controlling stockholders that are Chinese state-owned entities — China Mobile Limited, China Unicom and China Telecom Corp., Ltd. — announced they would be delisted by the New York Stock Exchange pursuant to U.S. investment restrictions enacted in 2020. In addition, the Holding Foreign Companies Accountable Act, enacted in December 2020, requires SEC registrants to disclose whether an issuer is owned or controlled by a governmental entity in a foreign jurisdiction that does not allow inspection by the Public Group Accounting Oversight Board, principally including issuers based in China.</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34" w:name="page35"/>
    <w:bookmarkEnd w:id="34"/>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Although Hua Yuan International Limited does not own a controlling interest in us, its investment may subject us to risks related to having an indirect principal stockholder that is a Chinese state-owned entity as well as risks arising from political and economic tensions between the United States and China generally.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corporate and social responsibility and reputation.</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predict the impact our dual class structure may have on the market price of our Class A common stock.</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cannot predict whether our dual class structure will result in a lower or more volatile market price of our Class A common stock or in adverse publicity or other adverse consequences. For example, certain index providers have restrictions on including companies with multiple-class share structures in certain of their indexes.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these policies, our dual class capital structure would make us ineligible for inclusion in certain indices, and as a result, mutual funds, exchange-traded funds, and other investment vehicles that attempt to passively track those indices will not be investing in our stock. Because of our dual class structure, we will likely be excluded from certain of these indexes and we cannot assure you that other stock indexes will not take similar actions.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45"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Our stock price and trading volume may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59"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trading market for our Class A common stock is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Class A common stock may have relatively little experience with us or our industry, which could affect their ability to accurately forecast our results and could make it more likely that we fail to meet their estimates.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66" w:lineRule="exact"/>
        <w:rPr>
          <w:sz w:val="20"/>
          <w:szCs w:val="20"/>
          <w:color w:val="auto"/>
        </w:rPr>
      </w:pPr>
    </w:p>
    <w:p>
      <w:pPr>
        <w:jc w:val="both"/>
        <w:ind w:right="20" w:firstLine="282"/>
        <w:spacing w:after="0" w:line="304" w:lineRule="auto"/>
        <w:rPr>
          <w:sz w:val="20"/>
          <w:szCs w:val="20"/>
          <w:color w:val="auto"/>
        </w:rPr>
      </w:pPr>
      <w:r>
        <w:rPr>
          <w:rFonts w:ascii="Times New Roman" w:cs="Times New Roman" w:eastAsia="Times New Roman" w:hAnsi="Times New Roman"/>
          <w:sz w:val="15"/>
          <w:szCs w:val="15"/>
          <w:color w:val="auto"/>
        </w:rPr>
        <w:t>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35" w:name="page36"/>
    <w:bookmarkEnd w:id="35"/>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Class A common stock.</w:t>
      </w:r>
    </w:p>
    <w:p>
      <w:pPr>
        <w:spacing w:after="0" w:line="145"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revenues and expenses that are not readily apparent from other sources. If our assumptions change or if actual circumstances differ from our assumptions, our results of operations may be adversely affected and could fall below our publicly announced guidance or the expectations of securities analysts and investors, resulting in a decline in the market price of our Class A common stock.</w:t>
      </w:r>
    </w:p>
    <w:p>
      <w:pPr>
        <w:spacing w:after="0" w:line="14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cannot guarantee that our share repurchase program will be fully implemented or it will enhance stockholder value, and share repurchases could affect the price of our Class A common stock.</w:t>
      </w:r>
    </w:p>
    <w:p>
      <w:pPr>
        <w:spacing w:after="0" w:line="14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November 2022, our board of directors authorized a share repurchase program of up to $5 million of our outstanding Class A common stock (the “Share Repurchase Program”), which does not have a fixed expiration date. Share repurchases under the program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at the discretion of management and in accordance with applicable federal securities laws and other applicable legal requirements and Nasdaq listing rules. The timing, pricing, and size of share repurchases will depend on a number of factors, including, but not limited to, price, corporate and regulatory requirements, and general market and economic conditions. As of December 31, 2023, approximately $1.3 million of the Share Repurchase Program remains available for future repurchases. The Share Repurchase Program does not obligate us to repurchase any dollar amount or number of shares, and the program may be suspended or discontinued at any time, which may result in a decrease in the price of our Class A common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36" w:name="page37"/>
    <w:bookmarkEnd w:id="36"/>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spacing w:after="0" w:line="16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Provisions in our amended and restated certificate of incorporation and bylaws and under Delaware law could make an acquisition of us more difficult and may prevent attempts by our stockholders to replace or remove our current management.</w:t>
      </w:r>
    </w:p>
    <w:p>
      <w:pPr>
        <w:spacing w:after="0" w:line="14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Class A common stock, thereby depressing the market price of our Class A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Because we do not anticipate paying any cash dividends on our capital stock in the foreseeable future, capital appreciation, if any, will be your sole source of gain.</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currently intend to retain all of our future earnings, if any, to finance the growth and development of our business. Any determination to pay dividends in the future will be at the discretion of our board of directors and may be restricted by our credit facilities or any future debt or preferred securities or future debt agreements we may enter into. As a result, capital appreciation, if any, of our Class A common stock will be your sole source of gain for the foreseeable future. See “Dividend Policy” of our Prospectus as filed by us with the SEC on November 10, 2022 pursuant to Rule 424(b)(4) under the Securities Act, relating to our registration statement on Form S-1, as amended.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i w:val="1"/>
          <w:iCs w:val="1"/>
          <w:color w:val="auto"/>
        </w:rPr>
        <w:t>If we default on our credit obligations, our operations may be interrupted, and our business could be seriously harmed.</w:t>
      </w:r>
    </w:p>
    <w:p>
      <w:pPr>
        <w:spacing w:after="0" w:line="19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We have a credit facility that we may draw on to finance our operations and other corporate purposes. If we default on these credit obligations, our lenders may accelerate the debt and/or foreclose on property securing the debt.</w:t>
      </w:r>
    </w:p>
    <w:p>
      <w:pPr>
        <w:spacing w:after="0" w:line="150"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If any of these events occur, our operations may be interrupted and our ability to fund our operations or obligations, as well as our business, could be seriously harmed. In addition, our credit facility contains operating covenants, including maintenance of certain financial ratios. Our ability to comply with these covenants may be affected by events beyond our control, and breaches of these covenants have in the past, and could in the future, result in a default under the credit facility and any future financial agreements into which we may enter. If not waived, defaults could cause our outstanding indebtedness under our credit facility and any future financing agreements that we may enter into to become immediately due and payable. For more information on our credit facility, see Item 7 of Part II, “Management’s Discussion and Analysis of Financial Condition and Results of Operations — Liquidity and Capital Resources.”</w:t>
      </w:r>
    </w:p>
    <w:p>
      <w:pPr>
        <w:spacing w:after="0" w:line="16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4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develop and refine our internal control over financial reporting. Some members of our management team have limited or no experience managing a publicly traded company, interacting with public company investors, and complying with the increasingly complex laws pertaining to public companies, and we have limited accounting and financial reporting personnel and other resources with which to address our internal controls and related procedures.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68"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Further,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or internal control over financial reporting could also cause investors to lose confidence in the accuracy and completeness of our reported financial and other information, which would likely have a negative effect on the trading price of our Class A common stock. In addition, if we are unable to continue to meet these requirements, we may not be able to remain listed on the Nasdaq. As a public company, we are required to provide an annual management report on the effectiveness of our internal control over financial reporting commencing with our second Annual Report on Form 10-K.</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38" w:name="page39"/>
    <w:bookmarkEnd w:id="38"/>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Our independent registered public accounting firm is not required to formally attest to the effectiveness of our internal control over financial reporting until the later of (1) our second Annual Report on Form 10-K or (2) the Annual Report on Form 10-K for the first year we no longer qualify as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 In addition, we could become subject to investigations by the stock exchange on which our securities are listed, the SEC or other regulatory authorities, which could require additional financial and management resources. These events could have a material and adverse effect on our business, results of operations, financial condition and prospects.</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spacing w:after="0" w:line="158"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management identified material weaknesses in our internal control over financial reporting involving the failure to properly design and implement controls related to the accounting for income taxes and disclosure controls related to deferred taxes in the consolidated financial statements; failure to properly classify certain operating expenses and games server costs as cost of revenues in the consolidated financial statements; failure to identify and allocate the consideration received from a settlement between the settlement gain and revenues generating activities; failure to properly determine the stand-alone selling prices of each performance obligation for certain digital revenue contracts; and, failure to design and implement information technology general controls related to segregation of duties within an information system relevant to the preparation of the Company’s consolidated financial statements. Due to the size and nature of our organization and the implementation timing of our new cloud-based ERP system, we had limited personnel and system capabilities for adequate segregation of duties during the fiscal year 2023. See Item 9A, “Controls and Procedures,” in this Annual Report for information regarding the identified material weaknesses and our actions to date to remediate the material weaknesses. As a result of the material weaknesses, our management has concluded that our internal control over financial reporting were not effective as of December 31, 2023.</w:t>
      </w:r>
    </w:p>
    <w:p>
      <w:pPr>
        <w:spacing w:after="0" w:line="17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are taking steps to remediate the material weaknesses, which include to enhancing our financial reporting close control procedures by implementing additional review of unusual transactions, improving our segregation of duties in the recording and approving of transactions, ensuring the completeness of our income tax footnote disclosure through consultation with income tax professionals, hire experts to assist in preparing our revenue recognition policies, and hire experts in designing and implementing custom approval workflows in our ERP system in order to remediate these material weaknesses. However, our efforts to remediate the material weaknesses may not be effective in preventing a future material weakness or significant deficiency in our internal control over financial reporting. If we do not effectively remediate the material weaknesses or if we otherwise fail to maintain effective internal control over financial reporting, we may not be able to accurately and timely report our financial results, which could cause our reported financial results to be materially misstated, result in the loss of investor confidence and cause the market price of our Class A common stock to decline.</w:t>
      </w:r>
    </w:p>
    <w:p>
      <w:pPr>
        <w:spacing w:after="0" w:line="168"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can give no assurance that the measures we have taken or plans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39" w:name="page40"/>
    <w:bookmarkEnd w:id="39"/>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certificate of incorporation provides that the Court of Chancery of the State of Delaware (or, if the Court of Chancery does not have jurisdiction, another State court in Delaware or the U.S. District Court for the District of Delaware) is the sole and exclusive forum for substantially all disputes between us and our stockholders, which could limit our stockholders’ abilities to obtain a favorable judicial forum for disputes with us or our directors, officers or employees.</w:t>
      </w:r>
    </w:p>
    <w:p>
      <w:pPr>
        <w:spacing w:after="0" w:line="158"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Our amended and restated certificate of incorporation specifies that, unless we consent in writing to the selection of an alternative forum, to the fullest extent permitted by law, the Court of Chancery of the State of Delaware is the sole and exclusive forum for most legal actions involving actions brought against us by stockholders; provided that, the exclusive forum provision will not apply to suits brought to enforce any liability or duty created by the Exchange Act or any other claim for which the U.S.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of 1933, as amended, or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6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45"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We could continue to be considered an emerging growth company for up to five years, although we would lose that status sooner if our annual gross revenues exceed $1.235 billion, if we issue more than $1.0 billion in nonconvertible debt in a three-year period or if the fair value of our Class A common stock held by non-affiliates exceeds $700.0 million (and we have been a public company for at least 12 months and have filed at least one Annual Report on Form 10-K). For the fiscal year ended December 31, 2023, our total net revenue was $60.9 million.</w:t>
      </w:r>
    </w:p>
    <w:p>
      <w:pPr>
        <w:spacing w:after="0" w:line="164"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It is unclear whether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Convertible Notes and Equity Line Credit Financing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Investors who buy shares in the convertible notes and equity line credit financing offering at different times will likely pay different prices.</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Investors who purchase shares of common stock at different times will likely pay different prices, and so may experience different levels of dilution and different outcomes in their investment results. In connection with the Equity Line of Credit Financing, we will have discretion, subject to market demand, to vary the timing, prices, and numbers of shares of common stock sold to the Equity Line Investor. Similarly, the Equity Line Investor may sell such shares of common stock at different times and at different prices. Investors may experience a decline in the value of the shares they purchase from the Equity Line Investor because of sales made by us in future transactions to the Equity Line Investor at prices lower than the prices they paid. Sales to the Equity Line Investor by us could result in substantial dilution to the interests of other holders of our Class A common stock. Additionally, the sale of a substantial number of shares of our Class A common stock to the Equity Line Investor, or the anticipation of such sales, could make it more difficult for us to sell equity or equity-related securities in the future at a time and at a price that we might otherwise wish to effect sales, which could have a materially adverse effect on our business and operations.</w:t>
      </w:r>
    </w:p>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management will have broad discretion over the use of the net proceeds from our sale of shares of common stock to the Equity Line Investor, and you may not agree with how we use the proceeds and the proceeds may not be invested successfully.</w:t>
      </w:r>
    </w:p>
    <w:p>
      <w:pPr>
        <w:spacing w:after="0" w:line="145"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Our management will have broad discretion with respect to the use of proceeds from the sale of any shares of our common stock to the Equity Line Investor. You will be relying on the judgment of our management regarding the application of the proceeds from the sale of any shares of our common stock to the Equity Line Investor. The results and effectiveness of the use of proceeds are uncertain, and we could spend the proceeds in ways that you do not agree with or that do not improve our results of operations or enhance the value of our common stock. Our failure to apply these funds effectively could harm our business, delay the development of our pipeline product candidates and cause the price of our common stock to decline.</w:t>
      </w:r>
    </w:p>
    <w:p>
      <w:pPr>
        <w:spacing w:after="0" w:line="16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may require additional financing to sustain our operations, without which we may not be able to continue operations, and the terms of subsequent financings may adversely impact our stockholders.</w:t>
      </w:r>
    </w:p>
    <w:p>
      <w:pPr>
        <w:spacing w:after="0" w:line="145"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may direct the Equity Line Investor to purchase up to $5,000,000 worth of shares of our Class A common stock under the Equity Line Purchase Agreement until December 31, 2025, in amounts up to $1,000,000 in shares of our Class A common stock depending on market prices.</w:t>
      </w:r>
    </w:p>
    <w:p>
      <w:pPr>
        <w:spacing w:after="0" w:line="150" w:lineRule="exact"/>
        <w:rPr>
          <w:sz w:val="20"/>
          <w:szCs w:val="20"/>
          <w:color w:val="auto"/>
        </w:rPr>
      </w:pPr>
    </w:p>
    <w:p>
      <w:pPr>
        <w:jc w:val="both"/>
        <w:ind w:firstLine="282"/>
        <w:spacing w:after="0" w:line="267" w:lineRule="auto"/>
        <w:rPr>
          <w:sz w:val="20"/>
          <w:szCs w:val="20"/>
          <w:color w:val="auto"/>
        </w:rPr>
      </w:pPr>
      <w:r>
        <w:rPr>
          <w:rFonts w:ascii="Times New Roman" w:cs="Times New Roman" w:eastAsia="Times New Roman" w:hAnsi="Times New Roman"/>
          <w:sz w:val="15"/>
          <w:szCs w:val="15"/>
          <w:color w:val="auto"/>
        </w:rPr>
        <w:t>Our ability to sell shares to the Equity Line Investor and obtain funds under the Equity Line Purchase Agreement is limited by the terms and conditions in the Equity Line Purchase Agreement, including restrictions on the amounts we may sell to the Equity Line Investor at any one time, and a limitation on our ability to sell shares to the Equity Line Investor to the extent that it would cause the Equity Line Investor to beneficially own more than 9.99% of our outstanding shares of Class A common stock. Additionally, we will only be able to sell or issue to the Equity Line Investor (subject to certain reductions and other adjustments pursuant to the Equity Line Purchase Agreement, the “Exchange Cap”) in total under the Equity Line Purchase Agreement, which is equal to 19.99% of the aggregate number of shares of Class A common stock outstanding prior to execution of the Equity Line Purchase Agreement, unless stockholder approval is obtained to issue in excess of such amount. Therefore, we may not in the future have access to the full amount available to us under the Equity Line Purchase Agreement, depending on the price of our Class A common stock. In addition, any amounts we sell under the Equity Line Purchase Agreement may not satisfy all of our funding needs, even if we are able and choose to sell and issue all of our Class A common stock currently registered.</w:t>
      </w:r>
    </w:p>
    <w:p>
      <w:pPr>
        <w:spacing w:after="0" w:line="15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extent we rely on the Equity Line Investor as a source of funding will depend on a number of factors including the prevailing market price of our Class A common stock and the extent to which we are able to secure working capital from other sources. If obtaining sufficient funding from the Equity Line Investor were to prove unavailable or prohibitively dilutive, we will need to secure another source of funding in order to satisfy our working capital needs. Even if we sell all $5,000,000 in shares of our Class A common stock under the Equity Line Purchase Agreement to the Equity Line Investor, we may still need additional capital to finance our future plans and working capital needs, and we may have to raise funds through the issuance of equity or debt securities. Depending on the type and the terms of any financing we pursue, stockholders’ rights and the value of their investment in our Class A common stock could be reduced. A financing could involve one or more types of securities including Class A common stock, convertible debt, or warrants to acquire Class A common stock. These securities could be issued at or below the then prevailing market price for our Class A common stock. If the issuance of new securities results in diminished rights to holders of our Class A common stock, the market price of our Class A common stock could be negatively impacted.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 Risk Management, Strategy and Governance.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Risk Management</w:t>
      </w:r>
    </w:p>
    <w:p>
      <w:pPr>
        <w:spacing w:after="0" w:line="19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Due to the nature of our business we face a variety of potential cybersecurity risks that are ever evolving and include unauthorized access to our systems and data, disruption of our online game services, theft of intellectual property, and third-party risks as a result of our use of various third party service providers and cloud service providers. The Company’s risks related to our end user data is borne by our platform partners as we do not maintain any sensitive information of our players within our infrastructure. There have been no cybersecurity threat events identified during the year ended December 31, 2023, which have resulted in a material incident, or are reasonably likely to result in a material impact on our business strategy, results of operations or financial condition. For more information regarding risks relating to intellectual property and cybersecurity related attacks, see Item 1A of Part I, “Risk Factors — Risks Related to Intellectual Property” and “Risk Factors – Risks Related to Our Business and Industry” of this Annual Report.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Strategy</w:t>
      </w:r>
    </w:p>
    <w:p>
      <w:pPr>
        <w:spacing w:after="0" w:line="19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are working towards the implementation of relevant controls within the National Institute of Standards and Technology (“NIST”) Cybersecurity Framework to better address cybersecurity threats and are actively working to secure additional cybersecurity insurance. The Company has a risk management plan that outlines the processes and procedures we use to identify, assess, mitigate and respond to cybersecurity risks. The plan is designed to protect the Company’s assets and safeguard the confidentiality, integrity and availability of its data and operations. Our cybersecurity risk management plan is integrated into the Company’s overall risk management process and establishes a clear framework with roles and responsibilities for managing cybersecurity risks. We will also conduct periodic assessments using the NIST framework once implemented. The Company currently uses a variety of security controls, including but not limited to firewalls, intrusion detection systems, data encryption in transit and at rest, and multi-factor authentication. We provide annual training to our employees and educate them on cybersecurity best practices. The Company is also developing a comprehensive incident response plan to detect, respond to, assess the materiality of, and recover from cybersecurity incidents effectively which it expects to be fully implemented during the year ending December 31,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Governance</w:t>
      </w:r>
    </w:p>
    <w:p>
      <w:pPr>
        <w:spacing w:after="0" w:line="19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Company’s executive management considers cybersecurity risk and other information technology risk as part of its risk oversight and has the ultimate responsibility for overseeing our cybersecurity strategy. Furthermore, during the year ended December 31, 2023 we have bolstered our Board of Directors through the appointment of a Director with an extensive history in cybersecurity and a deep understanding of cybersecurity threats which may have a material impact on our business and the video game industry as a whole. Our Director of IT has been with the Company for nine years, has fifteen years of IT experience and has the institutional knowledge to apply our risk management strategy and cybersecurity threat responses to our organization. The Director of IT implements continuous monitoring mechanisms to track cybersecurity risks and controls in real time, utilizing an endpoint detection and response system (“EDR”). Incidents reported by the EDR are assessed and responded to by the Director of IT, then reported to the CEO, who’s also the chairman of our corporate governance committee, for review and communicated to the Board of Directors. On a quarterly basis the Director of IT reports cybersecurity monitoring updates to the CEO, coordinates with our newly appointed Board Member to implement our information technology and cybersecurity programs, as well as with our HR Manager to ensure that the Company’s employees have the adequate training on cybersecurity best practices.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94" w:lineRule="exact"/>
        <w:rPr>
          <w:sz w:val="20"/>
          <w:szCs w:val="20"/>
          <w:color w:val="auto"/>
        </w:rPr>
      </w:pPr>
    </w:p>
    <w:p>
      <w:pPr>
        <w:jc w:val="both"/>
        <w:ind w:right="20" w:firstLine="282"/>
        <w:spacing w:after="0" w:line="283" w:lineRule="auto"/>
        <w:rPr>
          <w:sz w:val="20"/>
          <w:szCs w:val="20"/>
          <w:color w:val="auto"/>
        </w:rPr>
      </w:pPr>
      <w:r>
        <w:rPr>
          <w:rFonts w:ascii="Times New Roman" w:cs="Times New Roman" w:eastAsia="Times New Roman" w:hAnsi="Times New Roman"/>
          <w:sz w:val="15"/>
          <w:szCs w:val="15"/>
          <w:color w:val="auto"/>
        </w:rPr>
        <w:t>As of December 31, 2023, we lease approximately 16,900 square feet of office space located in Beverly Hills, California under an operating lease that expires on November 13, 2025. We also own a two-story office building consisting of approximately 5,910 square feet of office space on 7,163 square feet of land in Culver City, California. We believe that these facilities are sufficient to meet our current and anticipated needs in the near term and that additional space can be obtained on commercially reasonable terms as needed.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8 of Part II, “Consolidated Financial Statements - Note 18 - Commitments and Contingencies-Litigation.”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 for Class A Common Stock</w:t>
      </w:r>
    </w:p>
    <w:p>
      <w:pPr>
        <w:spacing w:after="0" w:line="19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Our Class A common stock is listed on the Nasdaq Capital Market and trades under the symbol “SNAL”. Public trading of our stock began on November 10, 2022. Prior to that, there was no public market for our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 of Record</w:t>
      </w:r>
    </w:p>
    <w:p>
      <w:pPr>
        <w:spacing w:after="0" w:line="194" w:lineRule="exact"/>
        <w:rPr>
          <w:sz w:val="20"/>
          <w:szCs w:val="20"/>
          <w:color w:val="auto"/>
        </w:rPr>
      </w:pPr>
    </w:p>
    <w:p>
      <w:pPr>
        <w:jc w:val="both"/>
        <w:ind w:right="20" w:firstLine="282"/>
        <w:spacing w:after="0" w:line="304" w:lineRule="auto"/>
        <w:rPr>
          <w:sz w:val="20"/>
          <w:szCs w:val="20"/>
          <w:color w:val="auto"/>
        </w:rPr>
      </w:pPr>
      <w:r>
        <w:rPr>
          <w:rFonts w:ascii="Times New Roman" w:cs="Times New Roman" w:eastAsia="Times New Roman" w:hAnsi="Times New Roman"/>
          <w:sz w:val="15"/>
          <w:szCs w:val="15"/>
          <w:color w:val="auto"/>
        </w:rPr>
        <w:t>The approximate number of record holders of our Class A common stock as of March 24, 2023 was five, including Equiniti Trust Company, LLC, which holds shares of our Class A common stock on behalf of an indeterminate number of beneficial owners. The number of record holders of our Class B common stock as of March 24, 2023 was two.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currently intend to retain all available funds and any future earnings, if any, to fund the development and expansion of our business and we do not anticipate paying any cash dividends in the foreseeable future. Except for a one-time special dividend in connection with our distribution of the Shareholder Loan (as defined herein), we have not paid any cash dividends.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In addition, our ability to pay cash dividends is currently restricted by the terms of our credit facilities. Our ability to pay cash dividends on our capital stock in the future may also be limited by the terms of any preferred securities we may issue or agreements governing any additional indebtedness we may incur.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a “smaller reporting company” as defined by Item 10 of Regulation S-K, the Company is not required to provide this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Unregistered Sales of Equity Securities and Use of Proceeds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issued the following securities that were not registered under the Securities Act.</w:t>
      </w:r>
    </w:p>
    <w:p>
      <w:pPr>
        <w:spacing w:after="0" w:line="192"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On November 14, 2022, concurrently with the initial public offering (“IPO”) and pursuant to the certain reorganization transactions, the pre-IPO stockholders of Snail Games USA collectively exchanged 500,000 shares of SGUSA common stock for 6,251,420 shares of our Class A common stock and 28,748,580 shares of our Class B common stock. The Company did not issue any securities that were not registered under the Securities Act during the year ended December 31, 2023.</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foregoing transactions were exempt from registration under the Securities Act, in reliance on Section 4(a)(2) of the Act.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Purchases of Equity Securities by the Issuer and Affiliated Purchasers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9"/>
        </w:trPr>
        <w:tc>
          <w:tcPr>
            <w:tcW w:w="4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4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Approximate</w:t>
            </w:r>
          </w:p>
        </w:tc>
      </w:tr>
      <w:tr>
        <w:trPr>
          <w:trHeight w:val="188"/>
        </w:trPr>
        <w:tc>
          <w:tcPr>
            <w:tcW w:w="4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of Shares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Dollar Value</w:t>
            </w:r>
          </w:p>
        </w:tc>
      </w:tr>
      <w:tr>
        <w:trPr>
          <w:trHeight w:val="188"/>
        </w:trPr>
        <w:tc>
          <w:tcPr>
            <w:tcW w:w="4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Purchased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of Shares that</w:t>
            </w:r>
          </w:p>
        </w:tc>
      </w:tr>
      <w:tr>
        <w:trPr>
          <w:trHeight w:val="188"/>
        </w:trPr>
        <w:tc>
          <w:tcPr>
            <w:tcW w:w="4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Part of</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May Yet Be</w:t>
            </w:r>
          </w:p>
        </w:tc>
      </w:tr>
      <w:tr>
        <w:trPr>
          <w:trHeight w:val="188"/>
        </w:trPr>
        <w:tc>
          <w:tcPr>
            <w:tcW w:w="4740" w:type="dxa"/>
            <w:vAlign w:val="bottom"/>
          </w:tcPr>
          <w:p>
            <w:pPr>
              <w:spacing w:after="0"/>
              <w:rPr>
                <w:sz w:val="16"/>
                <w:szCs w:val="16"/>
                <w:color w:val="auto"/>
              </w:rPr>
            </w:pPr>
          </w:p>
        </w:tc>
        <w:tc>
          <w:tcPr>
            <w:tcW w:w="1080" w:type="dxa"/>
            <w:vAlign w:val="bottom"/>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Publicly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Purchased</w:t>
            </w:r>
          </w:p>
        </w:tc>
      </w:tr>
      <w:tr>
        <w:trPr>
          <w:trHeight w:val="188"/>
        </w:trPr>
        <w:tc>
          <w:tcPr>
            <w:tcW w:w="4740" w:type="dxa"/>
            <w:vAlign w:val="bottom"/>
          </w:tcPr>
          <w:p>
            <w:pPr>
              <w:spacing w:after="0"/>
              <w:rPr>
                <w:sz w:val="16"/>
                <w:szCs w:val="16"/>
                <w:color w:val="auto"/>
              </w:rPr>
            </w:pPr>
          </w:p>
        </w:tc>
        <w:tc>
          <w:tcPr>
            <w:tcW w:w="1080" w:type="dxa"/>
            <w:vAlign w:val="bottom"/>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under the</w:t>
            </w:r>
          </w:p>
        </w:tc>
      </w:tr>
      <w:tr>
        <w:trPr>
          <w:trHeight w:val="188"/>
        </w:trPr>
        <w:tc>
          <w:tcPr>
            <w:tcW w:w="4740" w:type="dxa"/>
            <w:vAlign w:val="bottom"/>
          </w:tcPr>
          <w:p>
            <w:pPr>
              <w:spacing w:after="0"/>
              <w:rPr>
                <w:sz w:val="16"/>
                <w:szCs w:val="16"/>
                <w:color w:val="auto"/>
              </w:rPr>
            </w:pPr>
          </w:p>
        </w:tc>
        <w:tc>
          <w:tcPr>
            <w:tcW w:w="1080" w:type="dxa"/>
            <w:vAlign w:val="bottom"/>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Price Paid</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Plans or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Plans or</w:t>
            </w:r>
          </w:p>
        </w:tc>
      </w:tr>
      <w:tr>
        <w:trPr>
          <w:trHeight w:val="210"/>
        </w:trPr>
        <w:tc>
          <w:tcPr>
            <w:tcW w:w="4740" w:type="dxa"/>
            <w:vAlign w:val="bottom"/>
          </w:tcPr>
          <w:p>
            <w:pPr>
              <w:spacing w:after="0"/>
              <w:rPr>
                <w:sz w:val="18"/>
                <w:szCs w:val="18"/>
                <w:color w:val="auto"/>
              </w:rPr>
            </w:pPr>
          </w:p>
        </w:tc>
        <w:tc>
          <w:tcPr>
            <w:tcW w:w="1080" w:type="dxa"/>
            <w:vAlign w:val="bottom"/>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7"/>
              </w:rPr>
              <w:t>Purchased</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per Share</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Programs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Programs</w:t>
            </w:r>
          </w:p>
        </w:tc>
      </w:tr>
      <w:tr>
        <w:trPr>
          <w:trHeight w:val="192"/>
        </w:trPr>
        <w:tc>
          <w:tcPr>
            <w:tcW w:w="474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220" w:type="dxa"/>
            <w:vAlign w:val="bottom"/>
            <w:tcBorders>
              <w:top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8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Period</w:t>
            </w: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January 2023</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1.68</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153</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6"/>
                <w:szCs w:val="16"/>
                <w:color w:val="auto"/>
              </w:rPr>
            </w:pPr>
          </w:p>
        </w:tc>
      </w:tr>
      <w:tr>
        <w:trPr>
          <w:trHeight w:val="188"/>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February 2023</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March 2023</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2023</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 2023</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2023</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July 2023</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August 2023</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September 2023</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October 2023</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2023</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2023</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36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20" w:type="dxa"/>
            <w:vAlign w:val="bottom"/>
            <w:tcBorders>
              <w:top w:val="single" w:sz="8" w:color="CCEEFF"/>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4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All share repurchases settled in the fiscal year ended December 31, 2023 were open market transactions. As of December 31,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to our consolidated financial statements included in this Annual Report.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92" w:lineRule="exact"/>
        <w:rPr>
          <w:sz w:val="20"/>
          <w:szCs w:val="20"/>
          <w:color w:val="auto"/>
        </w:rPr>
      </w:pPr>
    </w:p>
    <w:p>
      <w:pPr>
        <w:jc w:val="both"/>
        <w:ind w:firstLine="282"/>
        <w:spacing w:after="0" w:line="277" w:lineRule="auto"/>
        <w:rPr>
          <w:sz w:val="20"/>
          <w:szCs w:val="20"/>
          <w:color w:val="auto"/>
        </w:rPr>
      </w:pPr>
      <w:r>
        <w:rPr>
          <w:rFonts w:ascii="Times New Roman" w:cs="Times New Roman" w:eastAsia="Times New Roman" w:hAnsi="Times New Roman"/>
          <w:sz w:val="15"/>
          <w:szCs w:val="15"/>
          <w:i w:val="1"/>
          <w:iCs w:val="1"/>
          <w:color w:val="auto"/>
        </w:rPr>
        <w:t>The following discussion and analysis should be read in conjunction with our consolidated financial statements and the related notes included elsewhere in this Annual Report on Form 10-K.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“Risk Factors,” in Part I, Item 1A of this Annual Report, and the “Cautionary Statement Regarding Forward-Looking Statements” section of this Annual Report</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has been a top-25 selling game on the Steam platform by gross revenue in each year we released an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is a leader within the sandbox survival genre with 90.7 million console and PC installs through December 31, 2023 and repeated releases within the top-25 selling games on the Steam platform. See Item 7 of Part II, “Management’s Discussion and Analysis of Financial Condition and Results of Operations-Key Performance Metrics and Non-GAAP Measures.” In the year ended December 31, 2023,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Survival Evolved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ARK: Survival Ascended </w:t>
      </w:r>
      <w:r>
        <w:rPr>
          <w:rFonts w:ascii="Times New Roman" w:cs="Times New Roman" w:eastAsia="Times New Roman" w:hAnsi="Times New Roman"/>
          <w:sz w:val="16"/>
          <w:szCs w:val="16"/>
          <w:color w:val="auto"/>
        </w:rPr>
        <w:t>combined for an average total of 416,479 daily active users (“DAUs”) on the Steam and Epic platforms, as compared to 305,376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year ended December 31, 2022. We define “daily active users” as the number of unique users who play any given game on any given day. For the years ended December 31, 2023 and 2022, we generated 87.8% and 90.8%, respectively, of our revenues from the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franchise.</w:t>
      </w:r>
    </w:p>
    <w:p>
      <w:pPr>
        <w:spacing w:after="0" w:line="167"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 xml:space="preserve">Our dedication to providing audiences with high-quality entertainment experiences utilizing the latest gaming technology has produced strong user engagement, continued revenue growth, and increased cash flows. Through December 31, 2023, our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franchise game has been played for 3.5 billion hours with an average playing time per user of 163.7 hours and with the top 21.0% of all players spending over 100 hours in the game, according to data from the Steam platform. For the years ended December 31, 2023 and 2022, our net revenue was $60.9 million and $74.4 million, respectively. During fiscal year 2023, approximately 43.7% of our revenue came from consoles, 43.4% from PC and 9.6% from mobile platforms as compared to 43.5% from consoles, 42.4% from PC and 12.8% from mobile platforms during fiscal year 2022. We had a net loss of $9.1 million for the year ended December 31, 2023 as compared to net income of $1.0 million for the year ended December 31, 2022.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color w:val="auto"/>
        </w:rPr>
        <w:t>Key Factors Affecting Our Business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are a number of factors that affect the performance of our business, and the comparability of our results from period to period, including:</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Investments in our content strategy</w:t>
      </w:r>
    </w:p>
    <w:p>
      <w:pPr>
        <w:spacing w:after="0" w:line="19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Times New Roman" w:cs="Times New Roman" w:eastAsia="Times New Roman" w:hAnsi="Times New Roman"/>
          <w:sz w:val="16"/>
          <w:szCs w:val="16"/>
          <w:i w:val="1"/>
          <w:iCs w:val="1"/>
          <w:color w:val="auto"/>
        </w:rPr>
        <w:t>NOIZ</w:t>
      </w:r>
      <w:r>
        <w:rPr>
          <w:rFonts w:ascii="Times New Roman" w:cs="Times New Roman" w:eastAsia="Times New Roman" w:hAnsi="Times New Roman"/>
          <w:sz w:val="16"/>
          <w:szCs w:val="16"/>
          <w:color w:val="auto"/>
        </w:rPr>
        <w:t>, by attracting new influencers and brand customers.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Growth of user base</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We have experienced significant growth in our number of downloads over the last several years. We have sold 45.2 million units between January 1, 2016 and December 31, 2023. During the year ended December 31, 2023, we sold 6.3 million units compared to 5.8 million in the year ended December 31, 2022.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is our master game and </w:t>
      </w:r>
      <w:r>
        <w:rPr>
          <w:rFonts w:ascii="Times New Roman" w:cs="Times New Roman" w:eastAsia="Times New Roman" w:hAnsi="Times New Roman"/>
          <w:sz w:val="16"/>
          <w:szCs w:val="16"/>
          <w:i w:val="1"/>
          <w:iCs w:val="1"/>
          <w:color w:val="auto"/>
        </w:rPr>
        <w:t>ARK: Genesis</w:t>
      </w:r>
      <w:r>
        <w:rPr>
          <w:rFonts w:ascii="Times New Roman" w:cs="Times New Roman" w:eastAsia="Times New Roman" w:hAnsi="Times New Roman"/>
          <w:sz w:val="16"/>
          <w:szCs w:val="16"/>
          <w:color w:val="auto"/>
        </w:rPr>
        <w:t xml:space="preserve"> is a DLC.</w:t>
      </w:r>
    </w:p>
    <w:p>
      <w:pPr>
        <w:spacing w:after="0" w:line="168"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While we believe we have a significant opportunity to grow our installed base, we anticipate that our overall user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Investments in our technology platform</w:t>
      </w:r>
    </w:p>
    <w:p>
      <w:pPr>
        <w:spacing w:after="0" w:line="196"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45" w:name="page46"/>
    <w:bookmarkEnd w:id="45"/>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Ability to release content, market effectively through cross media and expand the gaming group</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Strategic relationship with developers, Studio Wildcard &amp; Suzhou Snail</w:t>
      </w:r>
    </w:p>
    <w:p>
      <w:pPr>
        <w:spacing w:after="0" w:line="196"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We have an exclusive license with Studio Wildcard for rights to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third party distribution platforms</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derive nearly all of our revenue from third-party distribution platforms, these include but are not limited to, Xbox Live and Game Pass, PlayStation Network, Steam, Epic Games Store, the Apple App Store, the Google Play Store, My Nintendo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46" w:name="page47"/>
    <w:bookmarkEnd w:id="46"/>
    <w:p>
      <w:pPr>
        <w:ind w:left="6"/>
        <w:spacing w:after="0"/>
        <w:rPr>
          <w:sz w:val="20"/>
          <w:szCs w:val="20"/>
          <w:color w:val="auto"/>
        </w:rPr>
      </w:pPr>
      <w:r>
        <w:rPr>
          <w:rFonts w:ascii="Times New Roman" w:cs="Times New Roman" w:eastAsia="Times New Roman" w:hAnsi="Times New Roman"/>
          <w:sz w:val="16"/>
          <w:szCs w:val="16"/>
          <w:b w:val="1"/>
          <w:bCs w:val="1"/>
          <w:color w:val="auto"/>
        </w:rPr>
        <w:t>Key Performance Metrics and Non-GAAP Measures</w:t>
      </w:r>
    </w:p>
    <w:p>
      <w:pPr>
        <w:spacing w:after="0" w:line="190"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6"/>
          <w:szCs w:val="16"/>
          <w:b w:val="1"/>
          <w:bCs w:val="1"/>
          <w:i w:val="1"/>
          <w:iCs w:val="1"/>
          <w:color w:val="auto"/>
        </w:rPr>
        <w:t>Units Sold</w:t>
      </w:r>
    </w:p>
    <w:p>
      <w:pPr>
        <w:spacing w:after="0" w:line="196" w:lineRule="exact"/>
        <w:rPr>
          <w:sz w:val="20"/>
          <w:szCs w:val="20"/>
          <w:color w:val="auto"/>
        </w:rPr>
      </w:pPr>
    </w:p>
    <w:p>
      <w:pPr>
        <w:jc w:val="both"/>
        <w:ind w:left="6" w:firstLine="282"/>
        <w:spacing w:after="0" w:line="253" w:lineRule="auto"/>
        <w:rPr>
          <w:sz w:val="20"/>
          <w:szCs w:val="20"/>
          <w:color w:val="auto"/>
        </w:rPr>
      </w:pPr>
      <w:r>
        <w:rPr>
          <w:rFonts w:ascii="Times New Roman" w:cs="Times New Roman" w:eastAsia="Times New Roman" w:hAnsi="Times New Roman"/>
          <w:sz w:val="16"/>
          <w:szCs w:val="16"/>
          <w:color w:val="auto"/>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spacing w:after="0" w:line="164" w:lineRule="exact"/>
        <w:rPr>
          <w:sz w:val="20"/>
          <w:szCs w:val="20"/>
          <w:color w:val="auto"/>
        </w:rPr>
      </w:pPr>
    </w:p>
    <w:p>
      <w:pPr>
        <w:jc w:val="both"/>
        <w:ind w:left="6" w:right="20" w:firstLine="282"/>
        <w:spacing w:after="0" w:line="258" w:lineRule="auto"/>
        <w:rPr>
          <w:sz w:val="20"/>
          <w:szCs w:val="20"/>
          <w:color w:val="auto"/>
        </w:rPr>
      </w:pPr>
      <w:r>
        <w:rPr>
          <w:rFonts w:ascii="Times New Roman" w:cs="Times New Roman" w:eastAsia="Times New Roman" w:hAnsi="Times New Roman"/>
          <w:sz w:val="16"/>
          <w:szCs w:val="16"/>
          <w:color w:val="auto"/>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spacing w:after="0" w:line="169"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2"/>
          </w:tcPr>
          <w:p>
            <w:pPr>
              <w:jc w:val="center"/>
              <w:ind w:left="942"/>
              <w:spacing w:after="0"/>
              <w:rPr>
                <w:sz w:val="20"/>
                <w:szCs w:val="20"/>
                <w:color w:val="auto"/>
              </w:rPr>
            </w:pPr>
            <w:r>
              <w:rPr>
                <w:rFonts w:ascii="Times New Roman" w:cs="Times New Roman" w:eastAsia="Times New Roman" w:hAnsi="Times New Roman"/>
                <w:sz w:val="16"/>
                <w:szCs w:val="16"/>
                <w:b w:val="1"/>
                <w:bCs w:val="1"/>
                <w:color w:val="auto"/>
                <w:w w:val="97"/>
              </w:rPr>
              <w:t>Fiscal years ended December 31,</w:t>
            </w:r>
          </w:p>
        </w:tc>
        <w:tc>
          <w:tcPr>
            <w:tcW w:w="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4280" w:type="dxa"/>
            <w:vAlign w:val="bottom"/>
          </w:tcPr>
          <w:p>
            <w:pPr>
              <w:spacing w:after="0"/>
              <w:rPr>
                <w:sz w:val="17"/>
                <w:szCs w:val="17"/>
                <w:color w:val="auto"/>
              </w:rPr>
            </w:pPr>
          </w:p>
        </w:tc>
        <w:tc>
          <w:tcPr>
            <w:tcW w:w="10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60" w:type="dxa"/>
            <w:vAlign w:val="bottom"/>
          </w:tcPr>
          <w:p>
            <w:pPr>
              <w:jc w:val="center"/>
              <w:ind w:right="662"/>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5360" w:type="dxa"/>
            <w:vAlign w:val="bottom"/>
            <w:gridSpan w:val="2"/>
            <w:shd w:val="clear" w:color="auto" w:fill="CCEEFF"/>
          </w:tcPr>
          <w:p>
            <w:pPr>
              <w:jc w:val="right"/>
              <w:ind w:right="4622"/>
              <w:spacing w:after="0"/>
              <w:rPr>
                <w:sz w:val="20"/>
                <w:szCs w:val="20"/>
                <w:color w:val="auto"/>
              </w:rPr>
            </w:pPr>
            <w:r>
              <w:rPr>
                <w:rFonts w:ascii="Times New Roman" w:cs="Times New Roman" w:eastAsia="Times New Roman" w:hAnsi="Times New Roman"/>
                <w:sz w:val="16"/>
                <w:szCs w:val="16"/>
                <w:color w:val="auto"/>
                <w:w w:val="94"/>
              </w:rPr>
              <w:t>Units Sold</w:t>
            </w:r>
          </w:p>
        </w:tc>
        <w:tc>
          <w:tcPr>
            <w:tcW w:w="1780" w:type="dxa"/>
            <w:vAlign w:val="bottom"/>
            <w:shd w:val="clear" w:color="auto" w:fill="CCEEFF"/>
          </w:tcPr>
          <w:p>
            <w:pPr>
              <w:jc w:val="right"/>
              <w:ind w:right="1302"/>
              <w:spacing w:after="0"/>
              <w:rPr>
                <w:sz w:val="20"/>
                <w:szCs w:val="20"/>
                <w:color w:val="auto"/>
              </w:rPr>
            </w:pPr>
            <w:r>
              <w:rPr>
                <w:rFonts w:ascii="Times New Roman" w:cs="Times New Roman" w:eastAsia="Times New Roman" w:hAnsi="Times New Roman"/>
                <w:sz w:val="16"/>
                <w:szCs w:val="16"/>
                <w:color w:val="auto"/>
              </w:rPr>
              <w:t>6.3</w:t>
            </w:r>
          </w:p>
        </w:tc>
        <w:tc>
          <w:tcPr>
            <w:tcW w:w="1860" w:type="dxa"/>
            <w:vAlign w:val="bottom"/>
            <w:shd w:val="clear" w:color="auto" w:fill="CCEEFF"/>
          </w:tcPr>
          <w:p>
            <w:pPr>
              <w:jc w:val="right"/>
              <w:ind w:right="1362"/>
              <w:spacing w:after="0"/>
              <w:rPr>
                <w:sz w:val="20"/>
                <w:szCs w:val="20"/>
                <w:color w:val="auto"/>
              </w:rPr>
            </w:pPr>
            <w:r>
              <w:rPr>
                <w:rFonts w:ascii="Times New Roman" w:cs="Times New Roman" w:eastAsia="Times New Roman" w:hAnsi="Times New Roman"/>
                <w:sz w:val="16"/>
                <w:szCs w:val="16"/>
                <w:color w:val="auto"/>
              </w:rPr>
              <w:t>5.8</w:t>
            </w:r>
          </w:p>
        </w:tc>
        <w:tc>
          <w:tcPr>
            <w:tcW w:w="6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0.5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bl>
    <w:p>
      <w:pPr>
        <w:spacing w:after="0" w:line="172" w:lineRule="exact"/>
        <w:rPr>
          <w:sz w:val="20"/>
          <w:szCs w:val="20"/>
          <w:color w:val="auto"/>
        </w:rPr>
      </w:pPr>
    </w:p>
    <w:p>
      <w:pPr>
        <w:ind w:left="5546" w:right="4120" w:hanging="5546"/>
        <w:spacing w:after="0" w:line="516" w:lineRule="auto"/>
        <w:tabs>
          <w:tab w:leader="none" w:pos="27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Units include master games, DLCs, season pass and bundles and excludes skins, soundtracks and other items.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5010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591" w:right="319" w:bottom="1440" w:gutter="0" w:footer="0" w:header="0"/>
        </w:sectPr>
      </w:pPr>
    </w:p>
    <w:bookmarkStart w:id="47" w:name="page48"/>
    <w:bookmarkEnd w:id="47"/>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 xml:space="preserve">Units Sold increased during the year ended December 31, 2023, as compared to the year ended December 31, 2022, by 0.5 million units, or 8.8%. The Company was able to increase unit sales across fiscal years due to the release of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Bookings &amp; EBITDA</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In addition to our financial results determined in accordance with U.S. generally accepted accounting principles (“U.S. GAAP” or “GAAP”), we believe Bookings and EBITDA, as non-GAAP measures, are useful in evaluating our operating performance. Bookings and EBITDA, as used in this Annual Report on Form 10-K, are non-GAAP financial measures that are presented as supplemental disclosures and should not be construed as alternatives to net income (loss) or revenue as indicators of operating performance, as determined in accordance with GAAP.</w:t>
      </w:r>
    </w:p>
    <w:p>
      <w:pPr>
        <w:spacing w:after="0" w:line="16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supplementally present Bookings and EBITDA because they are key operating measures used by our management to assess our financial performance. Bookings adjusts for the impact of deferrals and, we believe, provides a useful indicator of sales in a given period. Management believes Bookings and EBITDA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Bookings and EBITDA to supplement GAAP measures of performance in the evaluation of the effectiveness of our business strategies, to make budgeting decisions, and to compare our performance against other peer companies using similar measures. We evaluate Bookings and EBITDA in conjunction with our results according to GAAP because we believe it provides investors and analysts a more complete understanding of factors and trends affecting our business than GAAP measures alone. Bookings and EBITDA should not be considered as alternatives to net income (loss), as measures of financial performance or any other performance measure derived in accordance with GAAP.</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Bookings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Bookings is defined as the net amount of products and services sold digitally or physically in the period. Bookings is equal to revenues excluding the impact from deferrals.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reconciliation of total net revenue to Bookings, the closest GAAP financial measure.</w:t>
      </w:r>
    </w:p>
    <w:p>
      <w:pPr>
        <w:spacing w:after="0" w:line="17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b w:val="1"/>
          <w:bCs w:val="1"/>
          <w:color w:val="auto"/>
        </w:rPr>
        <w:t>Fiscal years ended</w:t>
      </w:r>
    </w:p>
    <w:p>
      <w:pPr>
        <w:spacing w:after="0" w:line="2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8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8"/>
        </w:trPr>
        <w:tc>
          <w:tcPr>
            <w:tcW w:w="50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4"/>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60.9</w:t>
            </w:r>
          </w:p>
        </w:tc>
        <w:tc>
          <w:tcPr>
            <w:tcW w:w="1020" w:type="dxa"/>
            <w:vAlign w:val="bottom"/>
            <w:gridSpan w:val="2"/>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74.4</w:t>
            </w:r>
          </w:p>
        </w:tc>
        <w:tc>
          <w:tcPr>
            <w:tcW w:w="5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(13.5)</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(18.2)%</w:t>
            </w: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Change in deferred net revenue</w:t>
            </w:r>
          </w:p>
        </w:tc>
        <w:tc>
          <w:tcPr>
            <w:tcW w:w="8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24.8</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35.5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330.8%</w:t>
            </w:r>
          </w:p>
        </w:tc>
      </w:tr>
      <w:tr>
        <w:trPr>
          <w:trHeight w:val="20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Bookings</w:t>
            </w:r>
          </w:p>
        </w:tc>
        <w:tc>
          <w:tcPr>
            <w:tcW w:w="86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34.5%</w:t>
            </w: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 xml:space="preserve">For the year ended December 31, 2023, bookings increased by $22.0 million, or 34.5%, compared to the year ended December 31, 2022, because of the release of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Survival Ascended </w:t>
      </w:r>
      <w:r>
        <w:rPr>
          <w:rFonts w:ascii="Times New Roman" w:cs="Times New Roman" w:eastAsia="Times New Roman" w:hAnsi="Times New Roman"/>
          <w:sz w:val="16"/>
          <w:szCs w:val="16"/>
          <w:color w:val="auto"/>
        </w:rPr>
        <w:t>in the fourth quarter of 2023. In addition to increased sales of</w:t>
      </w:r>
      <w:r>
        <w:rPr>
          <w:rFonts w:ascii="Times New Roman" w:cs="Times New Roman" w:eastAsia="Times New Roman" w:hAnsi="Times New Roman"/>
          <w:sz w:val="16"/>
          <w:szCs w:val="16"/>
          <w:i w:val="1"/>
          <w:iCs w:val="1"/>
          <w:color w:val="auto"/>
        </w:rPr>
        <w:t xml:space="preserve"> ARK: Survival Ascended, </w:t>
      </w:r>
      <w:r>
        <w:rPr>
          <w:rFonts w:ascii="Times New Roman" w:cs="Times New Roman" w:eastAsia="Times New Roman" w:hAnsi="Times New Roman"/>
          <w:sz w:val="16"/>
          <w:szCs w:val="16"/>
          <w:color w:val="auto"/>
        </w:rPr>
        <w:t>the Company deferred approximately $22.0 million in revenues during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fourth quarter of 2023 for the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DLC’s which have not yet released and had $10.3 million in one-time deferred contract revenues recognized in 2022 that did not occur in 2023.</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48" w:name="page49"/>
    <w:bookmarkEnd w:id="48"/>
    <w:p>
      <w:pPr>
        <w:ind w:left="280"/>
        <w:spacing w:after="0"/>
        <w:rPr>
          <w:sz w:val="20"/>
          <w:szCs w:val="20"/>
          <w:color w:val="auto"/>
        </w:rPr>
      </w:pPr>
      <w:r>
        <w:rPr>
          <w:rFonts w:ascii="Times New Roman" w:cs="Times New Roman" w:eastAsia="Times New Roman" w:hAnsi="Times New Roman"/>
          <w:sz w:val="16"/>
          <w:szCs w:val="16"/>
          <w:i w:val="1"/>
          <w:iCs w:val="1"/>
          <w:color w:val="auto"/>
        </w:rPr>
        <w:t>EBITDA</w:t>
      </w:r>
    </w:p>
    <w:p>
      <w:pPr>
        <w:spacing w:after="0" w:line="19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We define EBITDA as net income (loss) before (i) interest income, (ii) interest expense, (iii) (benefit from) provision for income taxes, and (iv) depreciation and amortization expense, property and equipment.</w:t>
      </w:r>
    </w:p>
    <w:p>
      <w:pPr>
        <w:spacing w:after="0" w:line="150"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Below is a reconciliation of net income (loss) to EBITDA, the closest GAAP financial measure.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Fiscal years ended December 31,</w:t>
            </w:r>
          </w:p>
        </w:tc>
        <w:tc>
          <w:tcPr>
            <w:tcW w:w="1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5080" w:type="dxa"/>
            <w:vAlign w:val="bottom"/>
          </w:tcPr>
          <w:p>
            <w:pPr>
              <w:spacing w:after="0"/>
              <w:rPr>
                <w:sz w:val="17"/>
                <w:szCs w:val="17"/>
                <w:color w:val="auto"/>
              </w:rPr>
            </w:pPr>
          </w:p>
        </w:tc>
        <w:tc>
          <w:tcPr>
            <w:tcW w:w="8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7"/>
                <w:szCs w:val="17"/>
                <w:color w:val="auto"/>
              </w:rPr>
            </w:pPr>
          </w:p>
        </w:tc>
      </w:tr>
      <w:tr>
        <w:trPr>
          <w:trHeight w:val="188"/>
        </w:trPr>
        <w:tc>
          <w:tcPr>
            <w:tcW w:w="5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4"/>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88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(9.1)</w:t>
            </w:r>
          </w:p>
        </w:tc>
        <w:tc>
          <w:tcPr>
            <w:tcW w:w="1020" w:type="dxa"/>
            <w:vAlign w:val="bottom"/>
            <w:gridSpan w:val="2"/>
            <w:shd w:val="clear" w:color="auto" w:fill="CCEEFF"/>
          </w:tcPr>
          <w:p>
            <w:pPr>
              <w:jc w:val="right"/>
              <w:ind w:right="73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(10.1)</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(1,014.8)%</w:t>
            </w:r>
          </w:p>
        </w:tc>
      </w:tr>
      <w:tr>
        <w:trPr>
          <w:trHeight w:val="18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and interest income - related parties</w:t>
            </w:r>
          </w:p>
        </w:tc>
        <w:tc>
          <w:tcPr>
            <w:tcW w:w="880" w:type="dxa"/>
            <w:vAlign w:val="bottom"/>
          </w:tcPr>
          <w:p>
            <w:pPr>
              <w:spacing w:after="0"/>
              <w:rPr>
                <w:sz w:val="16"/>
                <w:szCs w:val="16"/>
                <w:color w:val="auto"/>
              </w:rPr>
            </w:pPr>
          </w:p>
        </w:tc>
        <w:tc>
          <w:tcPr>
            <w:tcW w:w="5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0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(83.2)%</w:t>
            </w: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and interest expense - related parties</w:t>
            </w:r>
          </w:p>
        </w:tc>
        <w:tc>
          <w:tcPr>
            <w:tcW w:w="8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0.9</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65.5%</w:t>
            </w:r>
          </w:p>
        </w:tc>
      </w:tr>
      <w:tr>
        <w:trPr>
          <w:trHeight w:val="18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880" w:type="dxa"/>
            <w:vAlign w:val="bottom"/>
          </w:tcPr>
          <w:p>
            <w:pPr>
              <w:spacing w:after="0"/>
              <w:rPr>
                <w:sz w:val="16"/>
                <w:szCs w:val="16"/>
                <w:color w:val="auto"/>
              </w:rPr>
            </w:pPr>
          </w:p>
        </w:tc>
        <w:tc>
          <w:tcPr>
            <w:tcW w:w="5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r>
      <w:tr>
        <w:trPr>
          <w:trHeight w:val="22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(0.2)</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(23.6)%</w:t>
            </w:r>
          </w:p>
        </w:tc>
      </w:tr>
      <w:tr>
        <w:trPr>
          <w:trHeight w:val="183"/>
        </w:trPr>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880" w:type="dxa"/>
            <w:vAlign w:val="bottom"/>
            <w:tcBorders>
              <w:top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jc w:val="right"/>
              <w:ind w:right="73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40" w:type="dxa"/>
            <w:vAlign w:val="bottom"/>
            <w:tcBorders>
              <w:top w:val="single" w:sz="8" w:color="CCEEFF"/>
            </w:tcBorders>
          </w:tcPr>
          <w:p>
            <w:pPr>
              <w:jc w:val="right"/>
              <w:ind w:right="26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2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(1,198.1)%</w:t>
            </w:r>
          </w:p>
        </w:tc>
      </w:tr>
      <w:tr>
        <w:trPr>
          <w:trHeight w:val="20"/>
        </w:trPr>
        <w:tc>
          <w:tcPr>
            <w:tcW w:w="5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For the year ended December 31, 2023, EBITDA decreased by $9.0 million, or 1,198.1%, compared to the year ended December 31, 2022, primarily as a result of a decrease in net income of $10.1 million, partially offset by a decrease in interest income of $0.7 million and an increase in interest expense of $0.6 million.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My Nintendo Store and the Amazon Appstore, and certain retail distributors. For sales arrangements through Xbox Live and Game Pass, PlayStation Network, Steam, Epic Game Stores, My Nintendo Store and retail distributors, the digital platforms and distributors have discretion in establishing the price for the specified good or service, and we have determined we are the agent in the sales transaction to the end user and therefore report revenue on a net basis based on the consideration received from the digital storefront. For sales arrangements through the Apple App Store and the Google Play Store, we have discretion in establishing the price for the specified good or service and have determined that we are the principal to the end user and therefore report revenue on a gross basis. Mobile platform fees charged by these digital storefronts are expensed as incurred and reported within cost of revenue as merchant fees.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record deferred revenue when payments are due or received in advance of the fulfillment of our associated performance obligations.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49" w:name="page50"/>
    <w:bookmarkEnd w:id="49"/>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net revenues through our current year top four platform providers as a proportion of our total net revenue for the years ended December 31, 2023 and 2022 were as follows:</w:t>
      </w:r>
    </w:p>
    <w:p>
      <w:pPr>
        <w:spacing w:after="0" w:line="150"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color w:val="auto"/>
        </w:rPr>
        <w:t>Fiscal years ended</w:t>
      </w:r>
    </w:p>
    <w:p>
      <w:pPr>
        <w:spacing w:after="0" w:line="20"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color w:val="auto"/>
        </w:rPr>
        <w:t>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320" w:type="dxa"/>
            <w:vAlign w:val="bottom"/>
          </w:tcPr>
          <w:p>
            <w:pPr>
              <w:spacing w:after="0"/>
              <w:rPr>
                <w:sz w:val="18"/>
                <w:szCs w:val="18"/>
                <w:color w:val="auto"/>
              </w:rPr>
            </w:pPr>
          </w:p>
        </w:tc>
        <w:tc>
          <w:tcPr>
            <w:tcW w:w="14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Platform 1</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25.7</w:t>
            </w:r>
          </w:p>
        </w:tc>
        <w:tc>
          <w:tcPr>
            <w:tcW w:w="44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22.5</w:t>
            </w:r>
          </w:p>
        </w:tc>
        <w:tc>
          <w:tcPr>
            <w:tcW w:w="4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Platform 2</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(6.2)</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Platform 3</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12.2</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(0.5)</w:t>
            </w: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Platform 4</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141"/>
        </w:trPr>
        <w:tc>
          <w:tcPr>
            <w:tcW w:w="5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Other Revenue</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1" w:lineRule="exact"/>
              <w:rPr>
                <w:sz w:val="20"/>
                <w:szCs w:val="20"/>
                <w:color w:val="auto"/>
              </w:rPr>
            </w:pPr>
            <w:r>
              <w:rPr>
                <w:rFonts w:ascii="Times New Roman" w:cs="Times New Roman" w:eastAsia="Times New Roman" w:hAnsi="Times New Roman"/>
                <w:sz w:val="16"/>
                <w:szCs w:val="16"/>
                <w:color w:val="auto"/>
              </w:rPr>
              <w:t>8.6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6"/>
                <w:szCs w:val="16"/>
                <w:color w:val="auto"/>
              </w:rPr>
              <w:t>(11.0</w:t>
            </w:r>
          </w:p>
        </w:tc>
        <w:tc>
          <w:tcPr>
            <w:tcW w:w="320" w:type="dxa"/>
            <w:vAlign w:val="bottom"/>
            <w:vMerge w:val="restart"/>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6"/>
                <w:szCs w:val="16"/>
                <w:color w:val="auto"/>
              </w:rPr>
              <w:t>(55.8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508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4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1460" w:type="dxa"/>
            <w:vAlign w:val="bottom"/>
            <w:gridSpan w:val="3"/>
            <w:shd w:val="clear" w:color="auto" w:fill="CCEEFF"/>
          </w:tcPr>
          <w:p>
            <w:pPr>
              <w:jc w:val="right"/>
              <w:ind w:right="40"/>
              <w:spacing w:after="0" w:line="71"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3"/>
        </w:trPr>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320" w:type="dxa"/>
            <w:vAlign w:val="bottom"/>
            <w:tcBorders>
              <w:top w:val="single" w:sz="8" w:color="CCEEFF"/>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85"/>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 xml:space="preserve">We expect changes in revenue to correlate with trends in the use and purchase of our games. The increase in net revenues of Platform 1 during the year ended December 31, 2023 from 2022 was due to the increased sales resulting from the release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in the fourth quarter of 2023. The decrease in net revenues of Platform 2 was due to one off payments and deferred revenues recognized in the 2022 period of $7.5 million. The increase in net revenues of Platform 4 was due to the release of a remastered and upgraded version of </w:t>
      </w:r>
      <w:r>
        <w:rPr>
          <w:rFonts w:ascii="Times New Roman" w:cs="Times New Roman" w:eastAsia="Times New Roman" w:hAnsi="Times New Roman"/>
          <w:sz w:val="16"/>
          <w:szCs w:val="16"/>
          <w:i w:val="1"/>
          <w:iCs w:val="1"/>
          <w:color w:val="auto"/>
        </w:rPr>
        <w:t>ARK 1</w:t>
      </w:r>
      <w:r>
        <w:rPr>
          <w:rFonts w:ascii="Times New Roman" w:cs="Times New Roman" w:eastAsia="Times New Roman" w:hAnsi="Times New Roman"/>
          <w:sz w:val="16"/>
          <w:szCs w:val="16"/>
          <w:color w:val="auto"/>
        </w:rPr>
        <w:t xml:space="preserve"> on the platform during the year ended December 31, 2023. The decrease in all other revenue is due to one time payments from other platforms related to </w:t>
      </w:r>
      <w:r>
        <w:rPr>
          <w:rFonts w:ascii="Times New Roman" w:cs="Times New Roman" w:eastAsia="Times New Roman" w:hAnsi="Times New Roman"/>
          <w:sz w:val="16"/>
          <w:szCs w:val="16"/>
          <w:i w:val="1"/>
          <w:iCs w:val="1"/>
          <w:color w:val="auto"/>
        </w:rPr>
        <w:t>ARK: Survival Evolved</w:t>
      </w:r>
      <w:r>
        <w:rPr>
          <w:rFonts w:ascii="Times New Roman" w:cs="Times New Roman" w:eastAsia="Times New Roman" w:hAnsi="Times New Roman"/>
          <w:sz w:val="16"/>
          <w:szCs w:val="16"/>
          <w:color w:val="auto"/>
        </w:rPr>
        <w:t xml:space="preserve"> and deferred revenues recognized during the year ended December 31, 2022, and that did not occur in fiscal year 2023.</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19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 xml:space="preserve">Cost of revenues includes license royalty fees, merchant fees, engine fees, server and database cost centers, game licenses and license right amortization. For a description of our licensing arrangements, please see Note 2 -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to our audited consolidated financial statements included in this Annual Report. We generally expect cost of revenues to fluctuate proportionately with revenues.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General and administrative expenses include rent expense, salaries, stock-based compensation, legal and professional expenses, administrative internet and server expenses, contract costs, insurance expenses, license and permits, other taxes and travel expenses. We expect salaries and wages to increase in a manner that is proportional with the added expenses and expertise of operating as a public company. We also expect salaries and wages to increase as we increase headcount as we expand our product offerings.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9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Research and development consists primarily of consulting expenses and salaries and wages devoted towards the development of new games and related technologies. We do not fund or enter into arrangements relating to the research and development activities from third-party developers from whom we license games. We expect our research and development to increase as we develop new content, games or technologies.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Advertising and marketing</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50" w:name="page51"/>
    <w:bookmarkEnd w:id="50"/>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and other, net</w:t>
      </w:r>
    </w:p>
    <w:p>
      <w:pPr>
        <w:spacing w:after="0" w:line="196" w:lineRule="exact"/>
        <w:rPr>
          <w:sz w:val="20"/>
          <w:szCs w:val="20"/>
          <w:color w:val="auto"/>
        </w:rPr>
      </w:pPr>
    </w:p>
    <w:p>
      <w:pPr>
        <w:jc w:val="both"/>
        <w:ind w:right="20" w:firstLine="282"/>
        <w:spacing w:after="0" w:line="304" w:lineRule="auto"/>
        <w:rPr>
          <w:sz w:val="20"/>
          <w:szCs w:val="20"/>
          <w:color w:val="auto"/>
        </w:rPr>
      </w:pPr>
      <w:r>
        <w:rPr>
          <w:rFonts w:ascii="Times New Roman" w:cs="Times New Roman" w:eastAsia="Times New Roman" w:hAnsi="Times New Roman"/>
          <w:sz w:val="15"/>
          <w:szCs w:val="15"/>
          <w:color w:val="auto"/>
        </w:rPr>
        <w:t>Interest expense consists of interest incurred under our term loans, 2021 Revolver Loan, promissory notes and amortization of debt discounts. We expect to continue to incur interest expense under our debt instruments, although with respect to certain instruments, our interest expense will fluctuate based upon the underlying variable interest rates.</w:t>
      </w:r>
    </w:p>
    <w:p>
      <w:pPr>
        <w:spacing w:after="0" w:line="1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Benefit from income taxes</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benefit from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20.9% differed from the federal statutory rate of 21% primarily as a result of decreases in uncertain tax positions, changes in the valuation allowance on deferred tax assets, and foreign research and development deductions.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 ended December 31, 2023 versus the year ended December 31, 2022</w:t>
      </w:r>
    </w:p>
    <w:p>
      <w:pPr>
        <w:spacing w:after="0" w:line="196"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color w:val="auto"/>
        </w:rPr>
        <w:t>Fiscal years ended</w:t>
      </w:r>
    </w:p>
    <w:p>
      <w:pPr>
        <w:spacing w:after="0" w:line="20"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color w:val="auto"/>
        </w:rPr>
        <w:t>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60" w:type="dxa"/>
            <w:vAlign w:val="bottom"/>
            <w:gridSpan w:val="2"/>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8"/>
        </w:trPr>
        <w:tc>
          <w:tcPr>
            <w:tcW w:w="50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 net</w:t>
            </w:r>
          </w:p>
        </w:tc>
        <w:tc>
          <w:tcPr>
            <w:tcW w:w="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60.9</w:t>
            </w:r>
          </w:p>
        </w:tc>
        <w:tc>
          <w:tcPr>
            <w:tcW w:w="1020" w:type="dxa"/>
            <w:vAlign w:val="bottom"/>
            <w:gridSpan w:val="2"/>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74.4</w:t>
            </w:r>
          </w:p>
        </w:tc>
        <w:tc>
          <w:tcPr>
            <w:tcW w:w="4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(13.5)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3"/>
        </w:trPr>
        <w:tc>
          <w:tcPr>
            <w:tcW w:w="5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revenues</w:t>
            </w:r>
          </w:p>
        </w:tc>
        <w:tc>
          <w:tcPr>
            <w:tcW w:w="840" w:type="dxa"/>
            <w:vAlign w:val="bottom"/>
          </w:tcPr>
          <w:p>
            <w:pPr>
              <w:spacing w:after="0"/>
              <w:rPr>
                <w:sz w:val="17"/>
                <w:szCs w:val="17"/>
                <w:color w:val="auto"/>
              </w:rPr>
            </w:pPr>
          </w:p>
        </w:tc>
        <w:tc>
          <w:tcPr>
            <w:tcW w:w="60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48.3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(4.8)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8"/>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320" w:type="dxa"/>
            <w:vAlign w:val="bottom"/>
            <w:tcBorders>
              <w:top w:val="single" w:sz="8" w:color="CCEEFF"/>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508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8"/>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15.8</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188"/>
        </w:trPr>
        <w:tc>
          <w:tcPr>
            <w:tcW w:w="5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tcPr>
          <w:p>
            <w:pPr>
              <w:spacing w:after="0"/>
              <w:rPr>
                <w:sz w:val="16"/>
                <w:szCs w:val="16"/>
                <w:color w:val="auto"/>
              </w:rPr>
            </w:pPr>
          </w:p>
        </w:tc>
        <w:tc>
          <w:tcPr>
            <w:tcW w:w="60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2.2</w:t>
            </w:r>
          </w:p>
        </w:tc>
        <w:tc>
          <w:tcPr>
            <w:tcW w:w="14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71.1%</w:t>
            </w:r>
          </w:p>
        </w:tc>
      </w:tr>
      <w:tr>
        <w:trPr>
          <w:trHeight w:val="188"/>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8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0.9</w:t>
            </w:r>
          </w:p>
        </w:tc>
        <w:tc>
          <w:tcPr>
            <w:tcW w:w="14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121.5%</w:t>
            </w:r>
          </w:p>
        </w:tc>
      </w:tr>
      <w:tr>
        <w:trPr>
          <w:trHeight w:val="203"/>
        </w:trPr>
        <w:tc>
          <w:tcPr>
            <w:tcW w:w="5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40" w:type="dxa"/>
            <w:vAlign w:val="bottom"/>
          </w:tcPr>
          <w:p>
            <w:pPr>
              <w:spacing w:after="0"/>
              <w:rPr>
                <w:sz w:val="17"/>
                <w:szCs w:val="17"/>
                <w:color w:val="auto"/>
              </w:rPr>
            </w:pPr>
          </w:p>
        </w:tc>
        <w:tc>
          <w:tcPr>
            <w:tcW w:w="60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(0.2)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08"/>
        </w:trPr>
        <w:tc>
          <w:tcPr>
            <w:tcW w:w="50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4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3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539.2</w:t>
            </w:r>
          </w:p>
        </w:tc>
        <w:tc>
          <w:tcPr>
            <w:tcW w:w="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5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5"/>
        </w:trPr>
        <w:tc>
          <w:tcPr>
            <w:tcW w:w="50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47</w:t>
            </w: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89" w:right="319" w:bottom="1440" w:gutter="0" w:footer="0" w:header="0"/>
        </w:sectPr>
      </w:pPr>
    </w:p>
    <w:bookmarkStart w:id="51" w:name="page52"/>
    <w:bookmarkEnd w:id="51"/>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 xml:space="preserve">Net revenues for the year ended December 31, 2023 decreased by $13.5 million, or 18.2%, compared to the year ended December 31, 2022. The decrease in net revenues was due to a decrease in </w:t>
      </w:r>
      <w:r>
        <w:rPr>
          <w:rFonts w:ascii="Times New Roman" w:cs="Times New Roman" w:eastAsia="Times New Roman" w:hAnsi="Times New Roman"/>
          <w:sz w:val="16"/>
          <w:szCs w:val="16"/>
          <w:i w:val="1"/>
          <w:iCs w:val="1"/>
          <w:color w:val="auto"/>
        </w:rPr>
        <w:t>Ark Mobile</w:t>
      </w:r>
      <w:r>
        <w:rPr>
          <w:rFonts w:ascii="Times New Roman" w:cs="Times New Roman" w:eastAsia="Times New Roman" w:hAnsi="Times New Roman"/>
          <w:sz w:val="16"/>
          <w:szCs w:val="16"/>
          <w:color w:val="auto"/>
        </w:rPr>
        <w:t xml:space="preserve"> sales of $2.9 million, a decrease in one time deferred revenue from contracts recognized in 2022 of $10.3 million, one time payments in 2022 of $8.5 million related to free download promotions and releases of DLC’s, that did not occur in 2023 and an increase in deferred revenues of $25.2 million related to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partially offset by an increase in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sales of $32.7 million.</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Cost of revenues for the year ended December 31, 2023 decreased by $4.8 million, or 9.1%, compared to the year ended December 31, 2022.</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Cost of revenues for the years ended December 31, 2023 and 2022 comprised the following:</w:t>
      </w:r>
    </w:p>
    <w:p>
      <w:pPr>
        <w:spacing w:after="0" w:line="192"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color w:val="auto"/>
        </w:rPr>
        <w:t>Fiscal years ended</w:t>
      </w:r>
    </w:p>
    <w:p>
      <w:pPr>
        <w:spacing w:after="0" w:line="20"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color w:val="auto"/>
        </w:rPr>
        <w:t>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8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60" w:type="dxa"/>
            <w:vAlign w:val="bottom"/>
            <w:gridSpan w:val="2"/>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8"/>
        </w:trPr>
        <w:tc>
          <w:tcPr>
            <w:tcW w:w="50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 license royalties - related parties</w:t>
            </w:r>
          </w:p>
        </w:tc>
        <w:tc>
          <w:tcPr>
            <w:tcW w:w="86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14.4</w:t>
            </w:r>
          </w:p>
        </w:tc>
        <w:tc>
          <w:tcPr>
            <w:tcW w:w="1040" w:type="dxa"/>
            <w:vAlign w:val="bottom"/>
            <w:gridSpan w:val="2"/>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17.0</w:t>
            </w:r>
          </w:p>
        </w:tc>
        <w:tc>
          <w:tcPr>
            <w:tcW w:w="4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18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Software license royalties</w:t>
            </w:r>
          </w:p>
        </w:tc>
        <w:tc>
          <w:tcPr>
            <w:tcW w:w="86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1.0</w:t>
            </w:r>
          </w:p>
        </w:tc>
        <w:tc>
          <w:tcPr>
            <w:tcW w:w="14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678%</w:t>
            </w: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 and amortization - related parties</w:t>
            </w: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20.5</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25.4</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(4.9)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18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License and amortization</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(0.2)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(99.7)%</w:t>
            </w: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Merchant fees</w:t>
            </w: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18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Engine fees</w:t>
            </w:r>
          </w:p>
        </w:tc>
        <w:tc>
          <w:tcPr>
            <w:tcW w:w="86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2.3</w:t>
            </w:r>
          </w:p>
        </w:tc>
        <w:tc>
          <w:tcPr>
            <w:tcW w:w="14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118.1%</w:t>
            </w: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Internet, server and data center</w:t>
            </w: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0.7</w:t>
            </w:r>
          </w:p>
        </w:tc>
        <w:tc>
          <w:tcPr>
            <w:tcW w:w="14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12.0%</w:t>
            </w: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Costs related to advertising revenue</w:t>
            </w:r>
          </w:p>
        </w:tc>
        <w:tc>
          <w:tcPr>
            <w:tcW w:w="8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0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20" w:type="dxa"/>
            <w:vAlign w:val="bottom"/>
            <w:tcBorders>
              <w:top w:val="single" w:sz="8" w:color="CCEEFF"/>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5"/>
              </w:rPr>
              <w:t>)%</w:t>
            </w: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 xml:space="preserve">The decrease in cost of revenues for the year ended December 31, 2023 was due to a decrease of $4.9 million in license and amortization – related parties, a result of a lower amortizable base of intangible assets in 2023, and a decrease in software license royalties – related parties of $2.6 million; partially offset by increased engine fees of $2.3 million resulting from an increase in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sales.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96" w:lineRule="exact"/>
        <w:rPr>
          <w:sz w:val="20"/>
          <w:szCs w:val="20"/>
          <w:color w:val="auto"/>
        </w:rPr>
      </w:pPr>
    </w:p>
    <w:p>
      <w:pPr>
        <w:jc w:val="both"/>
        <w:ind w:firstLine="282"/>
        <w:spacing w:after="0" w:line="276" w:lineRule="auto"/>
        <w:rPr>
          <w:sz w:val="20"/>
          <w:szCs w:val="20"/>
          <w:color w:val="auto"/>
        </w:rPr>
      </w:pPr>
      <w:r>
        <w:rPr>
          <w:rFonts w:ascii="Times New Roman" w:cs="Times New Roman" w:eastAsia="Times New Roman" w:hAnsi="Times New Roman"/>
          <w:sz w:val="15"/>
          <w:szCs w:val="15"/>
          <w:color w:val="auto"/>
        </w:rPr>
        <w:t>General and administrative expenses for the year ended December 31, 2023 decreased by $2.9 million, or 15.5%, compared to the year ended December 31, 2022. The decrease in general and administrative expenses was due to a decrease in legal and professional expenses of $5.0 million, a decrease in contractors expense of $0.4 million and a decrease in administrative internet and server costs of $0.4 million; partially offset by an increase in salaries and wages of $0.7 million, an increase in bad debts of $0.6 million, an increase in insurance expenses of $0.7 million and an increase in expenses of $0.9 million for SEC filing fees, investor relations, NASDAQ listing fees and compliance expenses.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196" w:lineRule="exact"/>
        <w:rPr>
          <w:sz w:val="20"/>
          <w:szCs w:val="20"/>
          <w:color w:val="auto"/>
        </w:rPr>
      </w:pPr>
    </w:p>
    <w:p>
      <w:pPr>
        <w:jc w:val="both"/>
        <w:ind w:firstLine="282"/>
        <w:spacing w:after="0" w:line="304" w:lineRule="auto"/>
        <w:rPr>
          <w:sz w:val="20"/>
          <w:szCs w:val="20"/>
          <w:color w:val="auto"/>
        </w:rPr>
      </w:pPr>
      <w:r>
        <w:rPr>
          <w:rFonts w:ascii="Times New Roman" w:cs="Times New Roman" w:eastAsia="Times New Roman" w:hAnsi="Times New Roman"/>
          <w:sz w:val="15"/>
          <w:szCs w:val="15"/>
          <w:color w:val="auto"/>
        </w:rPr>
        <w:t xml:space="preserve">Research and development expenses for the year ended December 31, 2023 increased by $2.2 million, or 71.1%, compared to the year ended December 31, 2022. The increase in research and development expenses was due to additional development of </w:t>
      </w:r>
      <w:r>
        <w:rPr>
          <w:rFonts w:ascii="Times New Roman" w:cs="Times New Roman" w:eastAsia="Times New Roman" w:hAnsi="Times New Roman"/>
          <w:sz w:val="15"/>
          <w:szCs w:val="15"/>
          <w:i w:val="1"/>
          <w:iCs w:val="1"/>
          <w:color w:val="auto"/>
        </w:rPr>
        <w:t>ARK: Survival Ascended, Atlas, Last Oasis, Bellwright, Survivor Mercs and Agartha</w:t>
      </w:r>
      <w:r>
        <w:rPr>
          <w:rFonts w:ascii="Times New Roman" w:cs="Times New Roman" w:eastAsia="Times New Roman" w:hAnsi="Times New Roman"/>
          <w:sz w:val="15"/>
          <w:szCs w:val="15"/>
          <w:color w:val="auto"/>
        </w:rPr>
        <w:t xml:space="preserve"> titles in 2023.</w:t>
      </w:r>
    </w:p>
    <w:p>
      <w:pPr>
        <w:spacing w:after="0" w:line="1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Advertising and marketing expenses</w:t>
      </w:r>
    </w:p>
    <w:p>
      <w:pPr>
        <w:spacing w:after="0" w:line="19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 xml:space="preserve">Advertising and marketing expenses for the year ended December 31, 2023 increased by $0.9 million, or 121.5%, compared to the year ended December 31, 2022. The increase in advertising and marketing expenses was due to additional marketing efforts centered on the release of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in the fourth quarter of 2023.</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52" w:name="page53"/>
    <w:bookmarkEnd w:id="52"/>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 expenses</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Depreciation and amortization expenses for the year ended December 31, 2023 decreased by $0.2 million, or 23.6%, compared to the year ended December 31, 2022. The decrease in depreciation and amortization expenses was due to lower depreciable base of fixed assets in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Factors Affecting Net Income (Loss)</w:t>
      </w:r>
    </w:p>
    <w:p>
      <w:pPr>
        <w:spacing w:after="0" w:line="194"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color w:val="auto"/>
        </w:rPr>
        <w:t>Fiscal years ended</w:t>
      </w:r>
    </w:p>
    <w:p>
      <w:pPr>
        <w:spacing w:after="0" w:line="20"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color w:val="auto"/>
        </w:rPr>
        <w:t>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8"/>
        </w:trPr>
        <w:tc>
          <w:tcPr>
            <w:tcW w:w="50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88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0.1</w:t>
            </w:r>
          </w:p>
        </w:tc>
        <w:tc>
          <w:tcPr>
            <w:tcW w:w="102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w:t>
            </w:r>
          </w:p>
        </w:tc>
        <w:tc>
          <w:tcPr>
            <w:tcW w:w="3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(0.1)</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(35.4)%</w:t>
            </w:r>
          </w:p>
        </w:tc>
      </w:tr>
      <w:tr>
        <w:trPr>
          <w:trHeight w:val="18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 related parties</w:t>
            </w:r>
          </w:p>
        </w:tc>
        <w:tc>
          <w:tcPr>
            <w:tcW w:w="880" w:type="dxa"/>
            <w:vAlign w:val="bottom"/>
          </w:tcPr>
          <w:p>
            <w:pPr>
              <w:spacing w:after="0"/>
              <w:rPr>
                <w:sz w:val="16"/>
                <w:szCs w:val="16"/>
                <w:color w:val="auto"/>
              </w:rPr>
            </w:pP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0.6</w:t>
            </w:r>
          </w:p>
        </w:tc>
        <w:tc>
          <w:tcPr>
            <w:tcW w:w="380" w:type="dxa"/>
            <w:vAlign w:val="bottom"/>
          </w:tcPr>
          <w:p>
            <w:pPr>
              <w:spacing w:after="0"/>
              <w:rPr>
                <w:sz w:val="16"/>
                <w:szCs w:val="16"/>
                <w:color w:val="auto"/>
              </w:rPr>
            </w:pPr>
          </w:p>
        </w:tc>
        <w:tc>
          <w:tcPr>
            <w:tcW w:w="13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(0.6)</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(99.7)%</w:t>
            </w: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(1.5)</w:t>
            </w:r>
          </w:p>
        </w:tc>
        <w:tc>
          <w:tcPr>
            <w:tcW w:w="10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(0.9)</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(0.6)</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(66.1)%</w:t>
            </w:r>
          </w:p>
        </w:tc>
      </w:tr>
      <w:tr>
        <w:trPr>
          <w:trHeight w:val="18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880" w:type="dxa"/>
            <w:vAlign w:val="bottom"/>
          </w:tcPr>
          <w:p>
            <w:pPr>
              <w:spacing w:after="0"/>
              <w:rPr>
                <w:sz w:val="16"/>
                <w:szCs w:val="16"/>
                <w:color w:val="auto"/>
              </w:rPr>
            </w:pP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0.3</w:t>
            </w:r>
          </w:p>
        </w:tc>
        <w:tc>
          <w:tcPr>
            <w:tcW w:w="10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w:t>
            </w:r>
          </w:p>
        </w:tc>
        <w:tc>
          <w:tcPr>
            <w:tcW w:w="380" w:type="dxa"/>
            <w:vAlign w:val="bottom"/>
          </w:tcPr>
          <w:p>
            <w:pPr>
              <w:spacing w:after="0"/>
              <w:rPr>
                <w:sz w:val="16"/>
                <w:szCs w:val="16"/>
                <w:color w:val="auto"/>
              </w:rPr>
            </w:pPr>
          </w:p>
        </w:tc>
        <w:tc>
          <w:tcPr>
            <w:tcW w:w="13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(16.8)%</w:t>
            </w: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w:t>
            </w:r>
          </w:p>
        </w:tc>
        <w:tc>
          <w:tcPr>
            <w:tcW w:w="10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r>
    </w:tbl>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9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Interest income - related parties was $0.0 million and $0.6 million for the years ended December 31, 2023 and 2022, respectively. The decrease was due to the distribution of the Shareholder Loan to Suzhou Snail in April 2022.</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Interest expense primarily related to our outstanding indebtedness with third-party lenders. Interest expense increased by $0.6 million for the year ended December 31, 2023 as a result of rising interest charges on the Company’s floating rate debt and amortization of debt discounts which did not occur in the year ended December 31, 2022.</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Benefit from income taxes</w:t>
      </w:r>
    </w:p>
    <w:p>
      <w:pPr>
        <w:spacing w:after="0" w:line="19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Company had an income tax benefit of $2.4 million for the year ended December 31, 2023 and a benefit of $2.4 million for the year ended December 31, 2022. Our effective income tax rate was 20.9% and 168.5% for the years ended December 31, 2023 and 2022, respectively. The change in our effective tax rate is due to the state refund received in fiscal year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Capital spending</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Liquidity</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primary sources of liquidity are the cash flows generated from our operations in the year ended December 31, 2023, that are currently available unrestricted cash. Our unrestricted cash was $15.2 million and $12.9 million as of December 31, 2023 and 2022, respectively.</w:t>
      </w:r>
    </w:p>
    <w:p>
      <w:pPr>
        <w:spacing w:after="0" w:line="150"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Our restricted cash and cash equivalents were $1.1 million and $6.4 million as of December 31, 2023 and 2022, respectively. Our restricted cash primarily consists of time deposits and is used as security for certain of our debt instruments and to secure standby letters of credit with certain of our landlords.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53" w:name="page54"/>
    <w:bookmarkEnd w:id="53"/>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As of December 31, 2023, our 2021 Revolving Loan and 2022 Short Term Note of $6.0 million and $0.8 million are due in December 2024 and January 2024, respectively. On August 24, 2023, the Company issued convertible notes at a 7.4% discount and a principal balance of $1,080,000. In addition to the stated discount, the fair value of the Convertible Notes was allocated to warrants issued in connection with the debt giving rise to an additional discount in the amount of $445,754. The notes have an interest rate of 7.5%, will be paid in consecutive monthly installments beginning February 24, 2024 and if the note is not converted, it will mature on May 24, 2024. In February 2024, the Company made the first payments of principle and accrued interest in the amount of $312,075, and the convertible note holders converted 71,460 shares for an aggregate value of $60,000. The Company paid an additional $275,063 of accrued interest and principal on its convertible notes balance in April 2024. In concurrence with the registration of the convertible notes shares the Company registered shares for distribution in an equity line of credit. The Company has the right, but not the obligation, to sell up to $5.0 million in Class A common stock to the investor. Additionally, we have a short term note of $1.5 million as of December 31, 2023, that we have repaid in the first quarter of 2024. In January 2024, we also repaid $3.0 million of our outstanding revolving loan balance and the $0.8 million balance of our term note. We intend to renegotiate with the lender to extend the maturity date of the 2021 Revolving Loan and to negotiate a new Short Term Note. However, there is no guarantee that we will be able to renegotiate the terms of the 2021 Revolving Loan or obtain a new short term note with the lender at terms acceptable to us or at all. Currently, we expect that we will not be in compliance with its quarterly debt covenant for the three months ending March 31, 2024. We are working with the lender to resolve the expected non-compliance with the debt covenant.</w:t>
      </w:r>
    </w:p>
    <w:p>
      <w:pPr>
        <w:spacing w:after="0" w:line="159"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Company raised additional capital during the year ended December 31, 2023 in the form of the convertible notes, short term financing arrangement with the Company’s internet and data center (“IDC”) vendor, and the distribution agreement entered into with our retail partner which provided advanced royalties. We may need to raise additional capital and issue registered shares to draw on an equity line of credit if needed.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spacing w:after="0" w:line="172"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Our current unrestricted cash position of approximately $15.2 million, and our expected revenue receipts will allow the Company to continue operations beyond the next 12 months and service its current debts.</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tables present a summary of our cash flows for the periods indicated (in millions):</w:t>
      </w:r>
    </w:p>
    <w:p>
      <w:pPr>
        <w:spacing w:after="0" w:line="192"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color w:val="auto"/>
        </w:rPr>
        <w:t>Fiscal years ended</w:t>
      </w:r>
    </w:p>
    <w:p>
      <w:pPr>
        <w:spacing w:after="0" w:line="20"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color w:val="auto"/>
        </w:rPr>
        <w:t>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8"/>
        </w:trPr>
        <w:tc>
          <w:tcPr>
            <w:tcW w:w="50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provided by (used in) operating activities</w:t>
            </w:r>
          </w:p>
        </w:tc>
        <w:tc>
          <w:tcPr>
            <w:tcW w:w="88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0.5</w:t>
            </w:r>
          </w:p>
        </w:tc>
        <w:tc>
          <w:tcPr>
            <w:tcW w:w="1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3.9</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113.9%</w:t>
            </w:r>
          </w:p>
        </w:tc>
      </w:tr>
      <w:tr>
        <w:trPr>
          <w:trHeight w:val="18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Net cash flows provided by investing activities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r>
      <w:tr>
        <w:trPr>
          <w:trHeight w:val="22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(used in) provided by financing activities</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(8.3)</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(171.0)%</w:t>
            </w:r>
          </w:p>
        </w:tc>
      </w:tr>
      <w:tr>
        <w:trPr>
          <w:trHeight w:val="143"/>
        </w:trPr>
        <w:tc>
          <w:tcPr>
            <w:tcW w:w="5080" w:type="dxa"/>
            <w:vAlign w:val="bottom"/>
            <w:tcBorders>
              <w:top w:val="single" w:sz="8" w:color="CCEEFF"/>
            </w:tcBorders>
          </w:tcPr>
          <w:p>
            <w:pPr>
              <w:spacing w:after="0" w:line="143" w:lineRule="exact"/>
              <w:rPr>
                <w:sz w:val="20"/>
                <w:szCs w:val="20"/>
                <w:color w:val="auto"/>
              </w:rPr>
            </w:pPr>
            <w:r>
              <w:rPr>
                <w:rFonts w:ascii="Times New Roman" w:cs="Times New Roman" w:eastAsia="Times New Roman" w:hAnsi="Times New Roman"/>
                <w:sz w:val="16"/>
                <w:szCs w:val="16"/>
                <w:color w:val="auto"/>
              </w:rPr>
              <w:t>Net (decrease) increase in cash and cash equivalents and restricted cash and</w:t>
            </w:r>
          </w:p>
        </w:tc>
        <w:tc>
          <w:tcPr>
            <w:tcW w:w="8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102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(5.6)</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(210.3)%</w:t>
            </w:r>
          </w:p>
        </w:tc>
      </w:tr>
      <w:tr>
        <w:trPr>
          <w:trHeight w:val="20"/>
        </w:trPr>
        <w:tc>
          <w:tcPr>
            <w:tcW w:w="5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Net cash flows provided by operating activities for the year ended December 31, 2023 increased $3.9 million as compared to the year ended December 31, 2022, which resulted primarily from an increase in deferred revenues of $35.5 million, an increase in accounts payable and accounts payable – related parties of $5.0 million, an increase in accrued expenses of $1.7 million, partially offset by a decrease in net income of $10.1 million, a decrease in noncash reconciling items of $7.2 million, an increase in accounts receivable and accounts receivable - related party of $17.7 million and an increase in prepaids and related party prepaids of $3.4 million.</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Company had a net loss of $9.1 million for the year ended December 31, 2023 and a net income of $1.0 million for the year ended December 31, 2022, representing a decrease of $10.1 million. The decrease was primarily due to decreased net revenues of $13.5 million, increased research and development costs of $2.2 million, increased advertising and marketing costs of $0.9 million, increased interest expenses of $0.6 million, decreased interest income – related party of $0.6 million, partially offset by a decrease in cost of revenues of $4.8 million, and a decrease in general and administrative expenses of $2.9 million.</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Non-cash reconciling items were $1.0 million and $8.2 million for the years ended December 31, 2023 and 2022, respectively, representing a decrease of $7.2 million. The decrease in the non-cash reconciling items was due to a decrease in amortization of intangible assets of $6.3 million and a decrease in deferred taxes of $3.2 million, partially offset by an increase in accretion expense of $0.3 million, an increase in stock based compensation of $0.6 million, reduced interest income from the shareholder loan of $0.6 million, and an increase in credit losses of $0.6 million.</w:t>
      </w:r>
    </w:p>
    <w:p>
      <w:pPr>
        <w:spacing w:after="0" w:line="16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Our accounts receivable - related party represent revenues attributable to certain mobile games that, for administrative reasons, were collected on our behalf by SDE Inc. (“SDE”), an affiliated entity, from fiscal year 2018 through 2021. SDE no longer collects such payments on our behalf; all such payments are received directly from the platforms through which we offer the relevant games. As of December 31, 2023 and 2022, the net outstanding balances of receivables due from SDE were $13.5 million and $13.5 million, respectively. We expect accounts receivables owed to us by SDE will be repaid within the next two fiscal years and intend to exercise all legally available means of collection. The Company and SDE have entered into an agreement to offset uncollected amounts against monthly payments due to SDE for operating expenses and costs of revenue. See Note 5-</w:t>
      </w:r>
      <w:r>
        <w:rPr>
          <w:rFonts w:ascii="Times New Roman" w:cs="Times New Roman" w:eastAsia="Times New Roman" w:hAnsi="Times New Roman"/>
          <w:sz w:val="16"/>
          <w:szCs w:val="16"/>
          <w:i w:val="1"/>
          <w:iCs w:val="1"/>
          <w:color w:val="auto"/>
        </w:rPr>
        <w:t xml:space="preserve">Accounts Receivable - Related Party </w:t>
      </w:r>
      <w:r>
        <w:rPr>
          <w:rFonts w:ascii="Times New Roman" w:cs="Times New Roman" w:eastAsia="Times New Roman" w:hAnsi="Times New Roman"/>
          <w:sz w:val="16"/>
          <w:szCs w:val="16"/>
          <w:color w:val="auto"/>
        </w:rPr>
        <w:t>to our audited consolidated financial statements included in this Annual Report.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3" w:right="319" w:bottom="1440" w:gutter="0" w:footer="0" w:header="0"/>
        </w:sectPr>
      </w:pPr>
    </w:p>
    <w:bookmarkStart w:id="54" w:name="page55"/>
    <w:bookmarkEnd w:id="54"/>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96" w:lineRule="exact"/>
        <w:rPr>
          <w:sz w:val="20"/>
          <w:szCs w:val="20"/>
          <w:color w:val="auto"/>
        </w:rPr>
      </w:pPr>
    </w:p>
    <w:p>
      <w:pPr>
        <w:jc w:val="both"/>
        <w:ind w:firstLine="282"/>
        <w:spacing w:after="0" w:line="304" w:lineRule="auto"/>
        <w:rPr>
          <w:sz w:val="20"/>
          <w:szCs w:val="20"/>
          <w:color w:val="auto"/>
        </w:rPr>
      </w:pPr>
      <w:r>
        <w:rPr>
          <w:rFonts w:ascii="Times New Roman" w:cs="Times New Roman" w:eastAsia="Times New Roman" w:hAnsi="Times New Roman"/>
          <w:sz w:val="15"/>
          <w:szCs w:val="15"/>
          <w:color w:val="auto"/>
        </w:rPr>
        <w:t>Cash provided by investing activities for the year ended December 31, 2023 decreased $1.2 million compared to the year ended December 31, 2022 due to a $1.5 million repayment received on a note receivable, partially offset by loan repayments of $0.3 million made to a related party in 2022. There were no investing related cash flows in 2023.</w:t>
      </w:r>
    </w:p>
    <w:p>
      <w:pPr>
        <w:spacing w:after="0" w:line="1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Net cash flows used in financing activities for the year ended December 31, 2023 were $3.4 million compared to net cash flows provided by financing activities of $4.8 million for the year ended December 31, 2022. Financing activities for the year ended December 31, 2023 included $9.5 million in debt payments, $0.3 million for the purchase of treasury stock, $0.3 million in payments of capitalized offering costs in accounts payable, partially offset by $3.0 million in borrowings on a term loan, $0.8 million in proceeds from the issuance of convertible notes, $1.9 million for the refund of a withholding tax overpayment and $1.0 million from the release of the Company’s restricted escrow deposit. Financing activities for the year ended December 31, 2022 included $10.0 million on a short term note, partially offset by repayments on the short-term note of $4.2 million, a cash dividend that was declared and paid of $8.2 million, net proceeds from the IPO of $12.0 million that was partially offset by $3.4 million spent on the open market purchase of treasury stock pursuant to our Share Repurchase Program and $1.2 million to pay capitalized offering costs.</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Registered Offering</w:t>
      </w:r>
    </w:p>
    <w:p>
      <w:pPr>
        <w:spacing w:after="0" w:line="19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In September 2022, we filed a Form S-1 Registration Statement with the United States Securities and Exchange Commission in connection with our IPO. As of the effective date of the Registration Statement, we became the parent company of Snail Games USA and a holding company, with our principal asset consisting of all the shares of common stock of Snail Games USA.</w:t>
      </w:r>
    </w:p>
    <w:p>
      <w:pPr>
        <w:spacing w:after="0" w:line="159"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was held to provide a source of funding for our indemnification obligations to the underwriters. The amount in escrow was released to the Company in November 2023 and is reported as part of unrestricted cash and cash equivalents as of December 31, 2023, and as a restricted escrow deposit as of December 31, 2022.</w:t>
      </w:r>
    </w:p>
    <w:p>
      <w:pPr>
        <w:spacing w:after="0" w:line="16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In October 2023, we filed a Form S-1 Registration Statement with the SEC in connection with our issuance of convertible note, equity line of credit and warrants related to each financing as noted below.</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55" w:name="page56"/>
    <w:bookmarkEnd w:id="55"/>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Capital resources</w:t>
      </w:r>
    </w:p>
    <w:p>
      <w:pPr>
        <w:spacing w:after="0" w:line="19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We fund our operations from our net cash flows provided by operating activities. In addition to these cash flows, we have entered into certain debt arrangements to provide additional liquidity and to finance our operations.</w: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Revolving Loan</w:t>
      </w:r>
    </w:p>
    <w:p>
      <w:pPr>
        <w:spacing w:after="0" w:line="19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December 2018, we entered into a revolving loan and security agreement with a financial institution for a revolving note in the amount of $5.5 million. On June 17, 2021, we amended and restated our revolving loan and security agreement (the “2021 Revolving Loan”) to increase our revolving line of credit to $9.0 million. As amended, the 2021 Revolving Loan matured on December 31, 2023 and bore interest at a rate equal to the prime rate less 0.25%. Interest is due and payable under the 2021 Revolving Loan on a monthly basis. The 2021 Revolving Loan was partially secured by the certificate of deposit accounts held with the financial institution, and reported as restricted cash, in the amounts of $5.3 million as of December 31, 2022. In June 2023, the Company amended its revolving loan and the certificate of deposit accounts securing the loan were released. The Company then amended the revolving loan agreement in December 2023, to extend the 2021 Revolving Loan maturity date to December 31, 2024. As of December 31, 2023, we had borrowings of $6.0 million outstanding under our 2021 Revolving Loan. We intend to extend the 2021 Revolving Loan prior to its maturity date in December 2024. There is no guarantee that we will be able to extend the 2021 Revolving Loan on terms acceptable to us in the future, or at all.</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Term Loan</w:t>
      </w:r>
    </w:p>
    <w:p>
      <w:pPr>
        <w:spacing w:after="0" w:line="19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w:t>
      </w:r>
    </w:p>
    <w:p>
      <w:pPr>
        <w:spacing w:after="0" w:line="159"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 January 2022, we amended and restated our 2021 Revolving Loan and we executed a promissory note to obtain an additional long-term loan with a principal balance of $10.0 million which was set to mature on January 26, 2023 (the “2022 Short Term Note”). In November 2022, the maturity date was extended to January 26, 2024. Interest is equal to the higher of 5.75% and the Wall Street Journal prime rate plus 0.50%. The 2022 Short Term Note is secured and collateralized by our existing assets. As of December 31, 2023, we had borrowings of $0.8 million outstanding under the 2022 Short Term Note. In January 2024, the Company completed the last payment obligation on the 2022 Short Term Note.</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Convertible Notes</w:t>
      </w:r>
    </w:p>
    <w:p>
      <w:pPr>
        <w:spacing w:after="0" w:line="19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On August 24, 2023, the Company issued convertible notes at a 7.4% discount and a principal balance of $1,080,000. The notes have an interest rate of 7.5%, will be paid in consecutive monthly installments beginning February 24, 2024 and will mature on May 24, 2024. In the event of a default the interest rate will be increased to the lower of 16% per annum or the highest amount permitted by applicable law. The Company has the option to prepay the notes at any time and the note holders have the option to convert the notes, in whole or in part, any time after November 24, 2023. In connection with the Convertible Notes the Company issued to the investors warrants to purchase an aggregate of 714,285 shares that were accounted for under the fair value method and allocated a value of $445,754. The difference of $525,754 between the proceeds allocated to the Convertible Notes and the aggregate principal amount will be accreted over the life of the notes and accounts for the fair value of the warrants and the stated discount. Additionally, $152,500 of transaction costs incurred by the Company were recorded as a debt discount. The discount is amortized using the effective interest rate of 109.7%. The effective interest rate is based on the principal balance discounted by stated interest, debt issuance costs and fair value allocated to the related warrants. As of December 31, 2023, we had borrowings of $1,080,000, net of a $282,639 discount under the Convertible Notes. The Company has registered shares for potential issuance on exercise of the warrants, or conversion of the note, on Form S-1 that was declared effective on October 30, 2023. As of December 31, 2023, the note holders have not exercised the warrants or the option to convert the notes.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Equity Line Purchase Agreement</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spacing w:after="0" w:line="16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The Company has registered shares for potential issuance on exercise of the warrants, or drawing of the equity line, on Form S-1 that was declared effective on October 30, 2023. As of December 31, 2023 the Company has not sold any Class A common stock under the Equity Line Purchase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56" w:name="page57"/>
    <w:bookmarkEnd w:id="56"/>
    <w:p>
      <w:pPr>
        <w:ind w:left="280"/>
        <w:spacing w:after="0"/>
        <w:rPr>
          <w:sz w:val="20"/>
          <w:szCs w:val="20"/>
          <w:color w:val="auto"/>
        </w:rPr>
      </w:pPr>
      <w:r>
        <w:rPr>
          <w:rFonts w:ascii="Times New Roman" w:cs="Times New Roman" w:eastAsia="Times New Roman" w:hAnsi="Times New Roman"/>
          <w:sz w:val="16"/>
          <w:szCs w:val="16"/>
          <w:i w:val="1"/>
          <w:iCs w:val="1"/>
          <w:color w:val="auto"/>
        </w:rPr>
        <w:t>2023 Note Payable</w:t>
      </w:r>
    </w:p>
    <w:p>
      <w:pPr>
        <w:spacing w:after="0" w:line="192"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 xml:space="preserve">In July 2023, the Company entered into a cooperation agreement with its IDC vendor. The Company agreed to make the vendor the official server host of </w:t>
      </w:r>
      <w:r>
        <w:rPr>
          <w:rFonts w:ascii="Times New Roman" w:cs="Times New Roman" w:eastAsia="Times New Roman" w:hAnsi="Times New Roman"/>
          <w:sz w:val="16"/>
          <w:szCs w:val="16"/>
          <w:i w:val="1"/>
          <w:iCs w:val="1"/>
          <w:color w:val="auto"/>
        </w:rPr>
        <w:t>Ark: Survival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Evolved </w:t>
      </w:r>
      <w:r>
        <w:rPr>
          <w:rFonts w:ascii="Times New Roman" w:cs="Times New Roman" w:eastAsia="Times New Roman" w:hAnsi="Times New Roman"/>
          <w:sz w:val="16"/>
          <w:szCs w:val="16"/>
          <w:color w:val="auto"/>
        </w:rPr>
        <w:t>and future iterations and sequels of the game for a period of 7 years. In return, the vendor has agreed to provide the Company with funds in cash of up to $3.0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without discount and free of charges and costs to the Company. The funds are to be repaid in monthly installments starting in November 2023 and are to be based on 20% of the gross monthly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revenues. The Company has imputed interest at 8.0% on draws made. As of December 31, 2023, we had borrowings of $1.5 million outstanding under the Note Payable.</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Financial covenants</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The 2021 Revolving Loan, Term Loan and the 2022 Short Term Note require us to maintain a minimum debt service coverage ratio of 1.5 to 1.0. Additionally, the 2021 Revolving Loan requires us to maintain an outstanding principal balance of no more than $3.0 million for 30 consecutive days during any twelve-month period. For the year ended December 31, 2023, our debt service coverage ratio was 0.0, we had balances on the revolving loan greater than $3.0 million for more than 30 days, and we received waivers for all covenants under our debt facilities as of December 31, 2023. The waiver is applicable to all debt facilities with the lender and will waive the covenants for the fiscal year ended December 31, 2023. The Company repaid the $0.8 million term note that was one of three debt facilities with the lender, in January 2024. The Company’s ability to comply with the covenants, or receive waivers for the covenants, can lead to the acceleration of payments due under the debt facilities with the lender, cause the lender to cease making advances under the revolving agreement, or allow the lender take possession of collateral.</w:t>
      </w:r>
    </w:p>
    <w:p>
      <w:pPr>
        <w:spacing w:after="0" w:line="166"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color w:val="auto"/>
        </w:rPr>
        <w:t xml:space="preserve">For additional information regarding our indebtedness, see Note 15, </w:t>
      </w:r>
      <w:r>
        <w:rPr>
          <w:rFonts w:ascii="Times New Roman" w:cs="Times New Roman" w:eastAsia="Times New Roman" w:hAnsi="Times New Roman"/>
          <w:sz w:val="16"/>
          <w:szCs w:val="16"/>
          <w:i w:val="1"/>
          <w:iCs w:val="1"/>
          <w:color w:val="auto"/>
        </w:rPr>
        <w:t>Revolving Loan, Short Term Note and Long-Term Debt</w:t>
      </w:r>
      <w:r>
        <w:rPr>
          <w:rFonts w:ascii="Times New Roman" w:cs="Times New Roman" w:eastAsia="Times New Roman" w:hAnsi="Times New Roman"/>
          <w:sz w:val="16"/>
          <w:szCs w:val="16"/>
          <w:color w:val="auto"/>
        </w:rPr>
        <w:t xml:space="preserve"> to our consolidated financial statements included in this Annual Report.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9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Our discussion and analysis of results of operations, financial condition, and liquidity are based upon our consolidated financial statements, which have been prepared in accordance with U.S. GAAP. The preparation of these consolidated financial statements requires us to make estimates and judgements that affect the reported amounts of assets and liabilities and disclosure of contingent assets and liabilities at the date of the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 w:cs="Times New Roman" w:eastAsia="Times New Roman" w:hAnsi="Times New Roman"/>
          <w:sz w:val="16"/>
          <w:szCs w:val="16"/>
          <w:i w:val="1"/>
          <w:iCs w:val="1"/>
          <w:color w:val="auto"/>
        </w:rPr>
        <w:t>Summary of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Policies </w:t>
      </w:r>
      <w:r>
        <w:rPr>
          <w:rFonts w:ascii="Times New Roman" w:cs="Times New Roman" w:eastAsia="Times New Roman" w:hAnsi="Times New Roman"/>
          <w:sz w:val="16"/>
          <w:szCs w:val="16"/>
          <w:color w:val="auto"/>
        </w:rPr>
        <w:t>to our consolidated financial statements included in this Annual Report. We believe that the following critical accounting policies and estimates have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greatest potential impact on our consolidated financial statements.</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Deferred Revenue</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Company recognizes, defers, and classifies the timing of deferred revenues from the sale of its products based on estimates of the release date, technical support obligations and timing of its performance obligations. The estimated timing of release dates is dependent on development milestones met by developers and compliance with platform requirements. At any time, platform requirements may change, or the developers may miss milestones. Estimates in technical support obligations will vary by platform and could change from period to period depending on user trends. Changes in estimates of our release schedule may affect the classification of short and long term deferred revenues and the rate at which deferred revenue is recognized, which could have a material impact on the Company’s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57" w:name="page58"/>
    <w:bookmarkEnd w:id="57"/>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Estimated Service Period</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deferral and subsequent recognition of revenue for the Company’s technical support obligations are estimated based on our estimated service period. We consider a variety of data points when determining and subsequently reassessing the estimated service period for players of our software products. Primarily, we review the weighted average number of days between players’ first and last days played online. When a new game is launched and no history of online player data is available, we consider other factors to determine the estimated service period, such as the estimated service period of other games actively being sold with similar characteristics. We also consider publicly available sources of online trends, the service periods of our previously released software products, and, to the extent publicly available, the service periods of our competitors’ software products that are similar in nature to ours.</w:t>
      </w:r>
    </w:p>
    <w:p>
      <w:pPr>
        <w:spacing w:after="0" w:line="16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believe this provides a reasonable depiction of the use of games by our customers, as it is the best representation of the period during which our customers play our software products. An increase in estimated service period could result in a reclassification of deferred revenues from short term to long term and extend the period over which we would recognize said revenue resulting in a lower net income in future periods.</w:t>
      </w:r>
    </w:p>
    <w:p>
      <w:pPr>
        <w:spacing w:after="0" w:line="159"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For our consumable and durable virtual items, we use a variety of data points in determining consumption and estimated service period. We also consider publicly available online trends, the service periods of our previously released software products, and to the extent publicly available, the service periods of our competitors’ software products that are similar in nature to ours. The estimated consumption and service periods for virtual goods are approximately 30 to 100 days. Determining the estimated service period is subjective and requires significant management judgment and estimates. Future usage patterns may differ from historical usage patterns, and therefore the estimated service period may change in the future.</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Selling Prices of Performance Obligations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 uses the following reasonably available information in developing the standalone selling prices of the performance obligations:</w:t>
      </w:r>
    </w:p>
    <w:p>
      <w:pPr>
        <w:spacing w:after="0" w:line="192" w:lineRule="exact"/>
        <w:rPr>
          <w:sz w:val="20"/>
          <w:szCs w:val="20"/>
          <w:color w:val="auto"/>
        </w:rPr>
      </w:pPr>
    </w:p>
    <w:p>
      <w:pPr>
        <w:ind w:left="560" w:hanging="284"/>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Reasonably available data points, including third party or industry pricing, and contractually stated prices.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such as market demand, competition, market constraints, awareness of the product and market trends.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Entity-specific factors including pricing strategies and objectives, market share and pricing practices for bundled arrangements.</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Deferred Income Taxes</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Company recognizes deferred income taxes based on estimates of future taxable income and the utilization of tax loss carryforwards. Changes in tax laws or the level of future taxable income could affect the realizability of deferred income tax assets. The Company’s deferred income tax assets reflect the net tax effects of temporary differences between the carrying amounts of assets and liabilities for financial reporting purposes and the amounts used for income tax purposes. The Company’s estimates of deferred income taxes are based on its assessment of the likelihood of realizing the benefits of the tax assets and are reviewed annually. Changes in these estimates may have a material impact on the Company’s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w:t>
      </w:r>
    </w:p>
    <w:p>
      <w:pPr>
        <w:spacing w:after="0" w:line="19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 xml:space="preserve">For a description of recently issued and adopted accounting pronouncements, including the respective dates of adoption and expected effects on our results of operations and financial condition, please see Note 2 -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to our Consolidated Financial Statements included in this Annual Report.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and Smaller Reporting Company Status</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58" w:name="page59"/>
    <w:bookmarkEnd w:id="58"/>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spacing w:after="0" w:line="16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spacing w:after="0" w:line="16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a “smaller reporting company” as defined by Item 10 of Regulation S-K, the Company is not required to provide the information required by this item.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9" w:right="31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Snail, Inc.</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68"/>
        </w:trPr>
        <w:tc>
          <w:tcPr>
            <w:tcW w:w="20" w:type="dxa"/>
            <w:vAlign w:val="bottom"/>
          </w:tcPr>
          <w:p>
            <w:pPr>
              <w:spacing w:after="0"/>
              <w:rPr>
                <w:sz w:val="14"/>
                <w:szCs w:val="14"/>
                <w:color w:val="auto"/>
              </w:rPr>
            </w:pPr>
          </w:p>
        </w:tc>
        <w:tc>
          <w:tcPr>
            <w:tcW w:w="10660" w:type="dxa"/>
            <w:vAlign w:val="bottom"/>
            <w:tcBorders>
              <w:top w:val="single" w:sz="8" w:color="CCEEFF"/>
            </w:tcBorders>
            <w:gridSpan w:val="7"/>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0000EE"/>
              </w:rPr>
              <w:t xml:space="preserve">Report of Independent Registered Public Accounting Firm (BDO USA, P.C.; Costa Mesa, California; </w:t>
            </w:r>
            <w:r>
              <w:rPr>
                <w:rFonts w:ascii="Times New Roman" w:cs="Times New Roman" w:eastAsia="Times New Roman" w:hAnsi="Times New Roman"/>
                <w:sz w:val="13"/>
                <w:szCs w:val="13"/>
                <w:color w:val="000000"/>
              </w:rPr>
              <w:t>PCAOB ID No. 243)</w:t>
            </w:r>
          </w:p>
        </w:tc>
        <w:tc>
          <w:tcPr>
            <w:tcW w:w="580" w:type="dxa"/>
            <w:vAlign w:val="bottom"/>
            <w:tcBorders>
              <w:top w:val="single" w:sz="8" w:color="auto"/>
            </w:tcBorders>
            <w:shd w:val="clear" w:color="auto" w:fill="CCEEFF"/>
          </w:tcPr>
          <w:p>
            <w:pPr>
              <w:ind w:left="360"/>
              <w:spacing w:after="0" w:line="121" w:lineRule="exact"/>
              <w:rPr>
                <w:sz w:val="20"/>
                <w:szCs w:val="20"/>
                <w:color w:val="auto"/>
              </w:rPr>
            </w:pPr>
            <w:r>
              <w:rPr>
                <w:rFonts w:ascii="Times New Roman" w:cs="Times New Roman" w:eastAsia="Times New Roman" w:hAnsi="Times New Roman"/>
                <w:sz w:val="13"/>
                <w:szCs w:val="13"/>
                <w:color w:val="auto"/>
              </w:rPr>
              <w:t>F-2</w:t>
            </w:r>
          </w:p>
        </w:tc>
        <w:tc>
          <w:tcPr>
            <w:tcW w:w="2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800" w:type="dxa"/>
            <w:vAlign w:val="bottom"/>
            <w:tcBorders>
              <w:top w:val="single" w:sz="8" w:color="0000EE"/>
              <w:bottom w:val="single" w:sz="8" w:color="0000EE"/>
            </w:tcBorders>
          </w:tcPr>
          <w:p>
            <w:pPr>
              <w:spacing w:after="0" w:line="153" w:lineRule="exact"/>
              <w:rPr>
                <w:sz w:val="20"/>
                <w:szCs w:val="20"/>
                <w:color w:val="auto"/>
              </w:rPr>
            </w:pPr>
            <w:r>
              <w:rPr>
                <w:rFonts w:ascii="Times New Roman" w:cs="Times New Roman" w:eastAsia="Times New Roman" w:hAnsi="Times New Roman"/>
                <w:sz w:val="16"/>
                <w:szCs w:val="16"/>
                <w:color w:val="0000EE"/>
                <w:w w:val="95"/>
              </w:rPr>
              <w:t>Consolidated Balance Sheets</w:t>
            </w:r>
          </w:p>
        </w:tc>
        <w:tc>
          <w:tcPr>
            <w:tcW w:w="4520" w:type="dxa"/>
            <w:vAlign w:val="bottom"/>
            <w:tcBorders>
              <w:top w:val="single" w:sz="8" w:color="0000EE"/>
            </w:tcBorders>
            <w:gridSpan w:val="5"/>
          </w:tcPr>
          <w:p>
            <w:pPr>
              <w:spacing w:after="0"/>
              <w:rPr>
                <w:sz w:val="13"/>
                <w:szCs w:val="13"/>
                <w:color w:val="auto"/>
              </w:rPr>
            </w:pPr>
          </w:p>
        </w:tc>
        <w:tc>
          <w:tcPr>
            <w:tcW w:w="434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ind w:left="360"/>
              <w:spacing w:after="0" w:line="153" w:lineRule="exact"/>
              <w:rPr>
                <w:sz w:val="20"/>
                <w:szCs w:val="20"/>
                <w:color w:val="auto"/>
              </w:rPr>
            </w:pPr>
            <w:r>
              <w:rPr>
                <w:rFonts w:ascii="Times New Roman" w:cs="Times New Roman" w:eastAsia="Times New Roman" w:hAnsi="Times New Roman"/>
                <w:sz w:val="16"/>
                <w:szCs w:val="16"/>
                <w:color w:val="auto"/>
                <w:w w:val="89"/>
              </w:rPr>
              <w:t>F-3</w:t>
            </w:r>
          </w:p>
        </w:tc>
        <w:tc>
          <w:tcPr>
            <w:tcW w:w="2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660" w:type="dxa"/>
            <w:vAlign w:val="bottom"/>
            <w:tcBorders>
              <w:bottom w:val="single" w:sz="8" w:color="0000EE"/>
            </w:tcBorders>
            <w:gridSpan w:val="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6"/>
              </w:rPr>
              <w:t>Consolidated Statements of Operations and Comprehensive Income (Loss)</w:t>
            </w:r>
          </w:p>
        </w:tc>
        <w:tc>
          <w:tcPr>
            <w:tcW w:w="6000" w:type="dxa"/>
            <w:vAlign w:val="bottom"/>
            <w:tcBorders>
              <w:bottom w:val="single" w:sz="8" w:color="CCEEFF"/>
            </w:tcBorders>
            <w:gridSpan w:val="2"/>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ind w:left="360"/>
              <w:spacing w:after="0" w:line="168" w:lineRule="exact"/>
              <w:rPr>
                <w:sz w:val="20"/>
                <w:szCs w:val="20"/>
                <w:color w:val="auto"/>
              </w:rPr>
            </w:pPr>
            <w:r>
              <w:rPr>
                <w:rFonts w:ascii="Times New Roman" w:cs="Times New Roman" w:eastAsia="Times New Roman" w:hAnsi="Times New Roman"/>
                <w:sz w:val="16"/>
                <w:szCs w:val="16"/>
                <w:color w:val="auto"/>
                <w:w w:val="89"/>
              </w:rPr>
              <w:t>F-4</w:t>
            </w:r>
          </w:p>
        </w:tc>
        <w:tc>
          <w:tcPr>
            <w:tcW w:w="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2160" w:type="dxa"/>
            <w:vAlign w:val="bottom"/>
            <w:tcBorders>
              <w:bottom w:val="single" w:sz="8" w:color="0000EE"/>
            </w:tcBorders>
            <w:gridSpan w:val="2"/>
          </w:tcPr>
          <w:p>
            <w:pPr>
              <w:spacing w:after="0" w:line="153" w:lineRule="exact"/>
              <w:rPr>
                <w:sz w:val="20"/>
                <w:szCs w:val="20"/>
                <w:color w:val="auto"/>
              </w:rPr>
            </w:pPr>
            <w:r>
              <w:rPr>
                <w:rFonts w:ascii="Times New Roman" w:cs="Times New Roman" w:eastAsia="Times New Roman" w:hAnsi="Times New Roman"/>
                <w:sz w:val="16"/>
                <w:szCs w:val="16"/>
                <w:color w:val="0000EE"/>
                <w:w w:val="96"/>
              </w:rPr>
              <w:t>Consolidated Statements of Equity</w:t>
            </w:r>
          </w:p>
        </w:tc>
        <w:tc>
          <w:tcPr>
            <w:tcW w:w="8500" w:type="dxa"/>
            <w:vAlign w:val="bottom"/>
            <w:gridSpan w:val="5"/>
          </w:tcPr>
          <w:p>
            <w:pPr>
              <w:spacing w:after="0"/>
              <w:rPr>
                <w:sz w:val="13"/>
                <w:szCs w:val="13"/>
                <w:color w:val="auto"/>
              </w:rPr>
            </w:pPr>
          </w:p>
        </w:tc>
        <w:tc>
          <w:tcPr>
            <w:tcW w:w="580" w:type="dxa"/>
            <w:vAlign w:val="bottom"/>
          </w:tcPr>
          <w:p>
            <w:pPr>
              <w:ind w:left="360"/>
              <w:spacing w:after="0" w:line="153" w:lineRule="exact"/>
              <w:rPr>
                <w:sz w:val="20"/>
                <w:szCs w:val="20"/>
                <w:color w:val="auto"/>
              </w:rPr>
            </w:pPr>
            <w:r>
              <w:rPr>
                <w:rFonts w:ascii="Times New Roman" w:cs="Times New Roman" w:eastAsia="Times New Roman" w:hAnsi="Times New Roman"/>
                <w:sz w:val="16"/>
                <w:szCs w:val="16"/>
                <w:color w:val="auto"/>
                <w:w w:val="89"/>
              </w:rPr>
              <w:t>F-5</w:t>
            </w:r>
          </w:p>
        </w:tc>
        <w:tc>
          <w:tcPr>
            <w:tcW w:w="2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2480" w:type="dxa"/>
            <w:vAlign w:val="bottom"/>
            <w:tcBorders>
              <w:bottom w:val="single" w:sz="8" w:color="0000EE"/>
            </w:tcBorders>
            <w:gridSpan w:val="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6"/>
              </w:rPr>
              <w:t>Consolidated Statements of Cash Flows</w:t>
            </w:r>
          </w:p>
        </w:tc>
        <w:tc>
          <w:tcPr>
            <w:tcW w:w="8180" w:type="dxa"/>
            <w:vAlign w:val="bottom"/>
            <w:tcBorders>
              <w:bottom w:val="single" w:sz="8" w:color="CCEEFF"/>
            </w:tcBorders>
            <w:gridSpan w:val="4"/>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ind w:left="360"/>
              <w:spacing w:after="0" w:line="168" w:lineRule="exact"/>
              <w:rPr>
                <w:sz w:val="20"/>
                <w:szCs w:val="20"/>
                <w:color w:val="auto"/>
              </w:rPr>
            </w:pPr>
            <w:r>
              <w:rPr>
                <w:rFonts w:ascii="Times New Roman" w:cs="Times New Roman" w:eastAsia="Times New Roman" w:hAnsi="Times New Roman"/>
                <w:sz w:val="16"/>
                <w:szCs w:val="16"/>
                <w:color w:val="auto"/>
                <w:w w:val="89"/>
              </w:rPr>
              <w:t>F-6</w:t>
            </w:r>
          </w:p>
        </w:tc>
        <w:tc>
          <w:tcPr>
            <w:tcW w:w="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0660" w:type="dxa"/>
            <w:vAlign w:val="bottom"/>
            <w:gridSpan w:val="7"/>
          </w:tcPr>
          <w:p>
            <w:pPr>
              <w:spacing w:after="0" w:line="153"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580" w:type="dxa"/>
            <w:vAlign w:val="bottom"/>
          </w:tcPr>
          <w:p>
            <w:pPr>
              <w:ind w:left="360"/>
              <w:spacing w:after="0" w:line="153" w:lineRule="exact"/>
              <w:rPr>
                <w:sz w:val="20"/>
                <w:szCs w:val="20"/>
                <w:color w:val="auto"/>
              </w:rPr>
            </w:pPr>
            <w:r>
              <w:rPr>
                <w:rFonts w:ascii="Times New Roman" w:cs="Times New Roman" w:eastAsia="Times New Roman" w:hAnsi="Times New Roman"/>
                <w:sz w:val="16"/>
                <w:szCs w:val="16"/>
                <w:color w:val="auto"/>
                <w:w w:val="89"/>
              </w:rPr>
              <w:t>F-7</w:t>
            </w:r>
          </w:p>
        </w:tc>
        <w:tc>
          <w:tcPr>
            <w:tcW w:w="20" w:type="dxa"/>
            <w:vAlign w:val="bottom"/>
          </w:tcPr>
          <w:p>
            <w:pPr>
              <w:spacing w:after="0"/>
              <w:rPr>
                <w:sz w:val="13"/>
                <w:szCs w:val="13"/>
                <w:color w:val="auto"/>
              </w:rPr>
            </w:pPr>
          </w:p>
        </w:tc>
      </w:tr>
      <w:tr>
        <w:trPr>
          <w:trHeight w:val="395"/>
        </w:trPr>
        <w:tc>
          <w:tcPr>
            <w:tcW w:w="20" w:type="dxa"/>
            <w:vAlign w:val="bottom"/>
          </w:tcPr>
          <w:p>
            <w:pPr>
              <w:spacing w:after="0"/>
              <w:rPr>
                <w:sz w:val="24"/>
                <w:szCs w:val="24"/>
                <w:color w:val="auto"/>
              </w:rPr>
            </w:pPr>
          </w:p>
        </w:tc>
        <w:tc>
          <w:tcPr>
            <w:tcW w:w="18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6"/>
                <w:szCs w:val="16"/>
                <w:color w:val="auto"/>
              </w:rPr>
              <w:t>F-1</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497"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and Board of 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Snail,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Culver City, California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Snail, Inc. and its subsidiaries (the “Company”) as of December 31, 2023 and 2022, the related consolidated statements of operations and comprehensive income (loss),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years then ended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in conformity with accounting principles generally accepted in the United States of America.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P.C.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Costa Mesa, California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 2024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color w:val="auto"/>
        </w:rPr>
        <w:t>Item 1. Consolidated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 as of December 31, 2023 and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i w:val="1"/>
                <w:iCs w:val="1"/>
                <w:color w:val="auto"/>
              </w:rPr>
              <w:t>December 31, 2023</w:t>
            </w:r>
          </w:p>
        </w:tc>
        <w:tc>
          <w:tcPr>
            <w:tcW w:w="200" w:type="dxa"/>
            <w:vAlign w:val="bottom"/>
          </w:tcPr>
          <w:p>
            <w:pPr>
              <w:spacing w:after="0"/>
              <w:rPr>
                <w:sz w:val="18"/>
                <w:szCs w:val="18"/>
                <w:color w:val="auto"/>
              </w:rPr>
            </w:pP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i w:val="1"/>
                <w:iCs w:val="1"/>
                <w:color w:val="auto"/>
              </w:rPr>
              <w:t>December 31,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15,198,123</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12,863,817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escrow deposit</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1,003,804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for credit losses of $523,500 and $19,929, respectively</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25,134,808</w:t>
            </w: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6,758,024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 related party</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11,344,184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 and interest receivable - related party</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103,753</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101,753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 related party</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6,044,404</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10,169,448</w:t>
            </w:r>
          </w:p>
        </w:tc>
        <w:tc>
          <w:tcPr>
            <w:tcW w:w="200" w:type="dxa"/>
            <w:vAlign w:val="bottom"/>
          </w:tcPr>
          <w:p>
            <w:pPr>
              <w:spacing w:after="0"/>
              <w:rPr>
                <w:sz w:val="17"/>
                <w:szCs w:val="17"/>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10,565,141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56,650,536</w:t>
            </w: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42,636,723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1,116,196</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6,374,368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 related party, net of current portion</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7,500,592</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 related party, net of current portion</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7,784,062</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5,582,500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4,682,066</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5,114,799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 - license - related parties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1,384,058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 - other</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271,717</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272,521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10,247,500</w:t>
            </w: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7,602,536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164,170</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198,668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2,440,690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3,606,398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90,857,529</w:t>
            </w:r>
          </w:p>
        </w:tc>
        <w:tc>
          <w:tcPr>
            <w:tcW w:w="32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72,772,571</w:t>
            </w:r>
          </w:p>
        </w:tc>
        <w:tc>
          <w:tcPr>
            <w:tcW w:w="12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NONCONTROLLING INTERESTS AND STOCKHOLDERS’ EQUITY</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12,102,929</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9,452,391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23,094,436</w:t>
            </w: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19,918,259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2,887,193</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1,474,088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payable - related parties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527,770</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527,770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Revolving loan</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9,000,000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2,333,333</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5,416,666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notes, net of discount</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797,361</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promissory note</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2,811,923</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86,524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19,252,628</w:t>
            </w: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4,335,404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1,505,034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1,371,227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71,312,607</w:t>
            </w: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51,582,329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254,731</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457,024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Promissory note, net of current portion</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3,221,963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15,064,078</w:t>
            </w: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5,216,042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1,425,494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2,930,529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88,056,910</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63,407,887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Class A common stock, $0.0001 par value, 500,000,000 shares authorized; 9,275,420 shares issued and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7,925,145 shares outstanding as of December 31, 2023, and 9,251,420 shares issued and 8,053,771 shares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927</w:t>
            </w:r>
          </w:p>
        </w:tc>
        <w:tc>
          <w:tcPr>
            <w:tcW w:w="200" w:type="dxa"/>
            <w:vAlign w:val="bottom"/>
          </w:tcPr>
          <w:p>
            <w:pPr>
              <w:spacing w:after="0"/>
              <w:rPr>
                <w:sz w:val="17"/>
                <w:szCs w:val="17"/>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Class B common stock, $0.0001 par value, 100,000,000 shares authorized; 28,748,580 shares issued and</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2023 and 2022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2,875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26,171,575</w:t>
            </w: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23,436,942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(254,383)</w:t>
            </w:r>
          </w:p>
        </w:tc>
        <w:tc>
          <w:tcPr>
            <w:tcW w:w="200" w:type="dxa"/>
            <w:vAlign w:val="bottom"/>
          </w:tcPr>
          <w:p>
            <w:pPr>
              <w:spacing w:after="0"/>
              <w:rPr>
                <w:sz w:val="16"/>
                <w:szCs w:val="16"/>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(307,200)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(13,949,325)</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(4,863,250)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11,971,669</w:t>
            </w:r>
          </w:p>
        </w:tc>
        <w:tc>
          <w:tcPr>
            <w:tcW w:w="3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18,270,292</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at cost (1,350,275 and 1,197,649 shares as of December 31, 2023 and 2022, respectively)</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(3,671,806)</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(3,414,713)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Total Snail, Inc. equity</w:t>
            </w:r>
          </w:p>
        </w:tc>
        <w:tc>
          <w:tcPr>
            <w:tcW w:w="18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8,299,863</w:t>
            </w:r>
          </w:p>
        </w:tc>
        <w:tc>
          <w:tcPr>
            <w:tcW w:w="3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14,855,579</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(5,499,244)</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(5,490,895)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tcBorders>
              <w:top w:val="single" w:sz="8" w:color="CCEEFF"/>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2,800,619</w:t>
            </w:r>
          </w:p>
        </w:tc>
        <w:tc>
          <w:tcPr>
            <w:tcW w:w="32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9,364,684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noncontrolling interests and stockholders’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90,857,529</w:t>
            </w: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72,772,571</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62" w:name="page63"/>
    <w:bookmarkEnd w:id="62"/>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 for the Years Ended December 31, 2023 and 2022</w:t>
      </w:r>
    </w:p>
    <w:p>
      <w:pPr>
        <w:spacing w:after="0" w:line="184" w:lineRule="exact"/>
        <w:rPr>
          <w:sz w:val="20"/>
          <w:szCs w:val="20"/>
          <w:color w:val="auto"/>
        </w:rPr>
      </w:pPr>
    </w:p>
    <w:tbl>
      <w:tblPr>
        <w:tblLayout w:type="fixed"/>
        <w:tblInd w:w="6"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 net</w:t>
            </w:r>
          </w:p>
        </w:tc>
        <w:tc>
          <w:tcPr>
            <w:tcW w:w="1580" w:type="dxa"/>
            <w:vAlign w:val="bottom"/>
            <w:gridSpan w:val="2"/>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60,902,098</w:t>
            </w:r>
          </w:p>
        </w:tc>
        <w:tc>
          <w:tcPr>
            <w:tcW w:w="4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74,444,141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48,306,403</w:t>
            </w:r>
          </w:p>
        </w:tc>
        <w:tc>
          <w:tcPr>
            <w:tcW w:w="44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53,121,676</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12,595,695</w:t>
            </w:r>
          </w:p>
        </w:tc>
        <w:tc>
          <w:tcPr>
            <w:tcW w:w="44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21,322,465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15,816,088</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18,713,958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5,057,421</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2,955,592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1,582,464</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714,492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432,306</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565,906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(gain) on disposal of fixed assets</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427</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(17,067)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40" w:type="dxa"/>
            <w:vAlign w:val="bottom"/>
            <w:tcBorders>
              <w:top w:val="single" w:sz="8" w:color="CCEEFF"/>
              <w:bottom w:val="single" w:sz="8" w:color="CCEEFF"/>
            </w:tcBorders>
          </w:tcPr>
          <w:p>
            <w:pPr>
              <w:ind w:left="140"/>
              <w:spacing w:after="0" w:line="171" w:lineRule="exact"/>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tcBorders>
              <w:top w:val="single" w:sz="8" w:color="CCEEFF"/>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22,888,706</w:t>
            </w:r>
          </w:p>
        </w:tc>
        <w:tc>
          <w:tcPr>
            <w:tcW w:w="320" w:type="dxa"/>
            <w:vAlign w:val="bottom"/>
            <w:tcBorders>
              <w:top w:val="single" w:sz="8" w:color="CCEEFF"/>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22,932,881</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w w:val="96"/>
              </w:rPr>
              <w:t>(10,293,011)</w:t>
            </w:r>
          </w:p>
        </w:tc>
        <w:tc>
          <w:tcPr>
            <w:tcW w:w="44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(1,610,416)</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129,854</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200,913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 - related parties</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582,632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(1,531,719)</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(922,293)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 related parties</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265,980</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302,086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transaction loss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(68,180)</w:t>
            </w:r>
          </w:p>
        </w:tc>
        <w:tc>
          <w:tcPr>
            <w:tcW w:w="44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(1,202,065</w:t>
            </w:r>
          </w:p>
        </w:tc>
        <w:tc>
          <w:tcPr>
            <w:tcW w:w="320" w:type="dxa"/>
            <w:vAlign w:val="bottom"/>
            <w:tcBorders>
              <w:top w:val="single" w:sz="8" w:color="CCEEFF"/>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158,171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benefit from income taxes</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6"/>
              </w:rPr>
              <w:t>(11,495,076)</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(1,452,245)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(2,400,652)</w:t>
            </w:r>
          </w:p>
        </w:tc>
        <w:tc>
          <w:tcPr>
            <w:tcW w:w="4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(2,446,423)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(9,094,424)</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994,178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(8,349)</w:t>
            </w:r>
          </w:p>
        </w:tc>
        <w:tc>
          <w:tcPr>
            <w:tcW w:w="4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46,371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attributable to Snail, Inc. and Snail Games USA Inc.</w:t>
            </w:r>
          </w:p>
        </w:tc>
        <w:tc>
          <w:tcPr>
            <w:tcW w:w="1580" w:type="dxa"/>
            <w:vAlign w:val="bottom"/>
            <w:gridSpan w:val="2"/>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(9,086,075)</w:t>
            </w:r>
          </w:p>
        </w:tc>
        <w:tc>
          <w:tcPr>
            <w:tcW w:w="4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947,807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restart"/>
          </w:tcPr>
          <w:p>
            <w:pPr>
              <w:spacing w:after="0"/>
              <w:rPr>
                <w:sz w:val="14"/>
                <w:szCs w:val="14"/>
                <w:color w:val="auto"/>
              </w:rPr>
            </w:pPr>
          </w:p>
        </w:tc>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 statement:</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580" w:type="dxa"/>
            <w:vAlign w:val="bottom"/>
            <w:gridSpan w:val="2"/>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(9,094,424)</w:t>
            </w:r>
          </w:p>
        </w:tc>
        <w:tc>
          <w:tcPr>
            <w:tcW w:w="4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994,178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 related to foreign currency translation adjustments, net of tax</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52,817</w:t>
            </w:r>
          </w:p>
        </w:tc>
        <w:tc>
          <w:tcPr>
            <w:tcW w:w="4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(40,643)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(loss) income</w:t>
            </w:r>
          </w:p>
        </w:tc>
        <w:tc>
          <w:tcPr>
            <w:tcW w:w="1580" w:type="dxa"/>
            <w:vAlign w:val="bottom"/>
            <w:gridSpan w:val="2"/>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(9,041,607)</w:t>
            </w:r>
          </w:p>
        </w:tc>
        <w:tc>
          <w:tcPr>
            <w:tcW w:w="4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953,535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restart"/>
          </w:tcPr>
          <w:p>
            <w:pPr>
              <w:spacing w:after="0"/>
              <w:rPr>
                <w:sz w:val="14"/>
                <w:szCs w:val="14"/>
                <w:color w:val="auto"/>
              </w:rPr>
            </w:pPr>
          </w:p>
        </w:tc>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Class A common stockholders:</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1580" w:type="dxa"/>
            <w:vAlign w:val="bottom"/>
            <w:gridSpan w:val="2"/>
          </w:tcPr>
          <w:p>
            <w:pPr>
              <w:jc w:val="right"/>
              <w:ind w:right="1002"/>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(1,960,813)</w:t>
            </w:r>
          </w:p>
        </w:tc>
        <w:tc>
          <w:tcPr>
            <w:tcW w:w="44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228,482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540" w:type="dxa"/>
            <w:vAlign w:val="bottom"/>
            <w:tcBorders>
              <w:top w:val="single" w:sz="8" w:color="CCEEFF"/>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Diluted</w:t>
            </w: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ind w:right="1002"/>
              <w:spacing w:after="0" w:line="164"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(1,960,813</w:t>
            </w:r>
          </w:p>
        </w:tc>
        <w:tc>
          <w:tcPr>
            <w:tcW w:w="320" w:type="dxa"/>
            <w:vAlign w:val="bottom"/>
            <w:tcBorders>
              <w:top w:val="single" w:sz="8" w:color="CCEEFF"/>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40" w:type="dxa"/>
            <w:vAlign w:val="bottom"/>
            <w:tcBorders>
              <w:top w:val="single" w:sz="8" w:color="auto"/>
              <w:bottom w:val="single" w:sz="8" w:color="auto"/>
            </w:tcBorders>
            <w:shd w:val="clear" w:color="auto" w:fill="CCEEFF"/>
          </w:tcPr>
          <w:p>
            <w:pPr>
              <w:jc w:val="right"/>
              <w:ind w:right="282"/>
              <w:spacing w:after="0" w:line="164"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228,482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restart"/>
          </w:tcPr>
          <w:p>
            <w:pPr>
              <w:spacing w:after="0"/>
              <w:rPr>
                <w:sz w:val="14"/>
                <w:szCs w:val="14"/>
                <w:color w:val="auto"/>
              </w:rPr>
            </w:pPr>
          </w:p>
        </w:tc>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Class B common stockholders:</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1580" w:type="dxa"/>
            <w:vAlign w:val="bottom"/>
            <w:gridSpan w:val="2"/>
          </w:tcPr>
          <w:p>
            <w:pPr>
              <w:jc w:val="right"/>
              <w:ind w:right="1002"/>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(7,125,262)</w:t>
            </w:r>
          </w:p>
        </w:tc>
        <w:tc>
          <w:tcPr>
            <w:tcW w:w="44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719,325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540" w:type="dxa"/>
            <w:vAlign w:val="bottom"/>
            <w:tcBorders>
              <w:top w:val="single" w:sz="8" w:color="CCEEFF"/>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Diluted</w:t>
            </w: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ind w:right="1002"/>
              <w:spacing w:after="0" w:line="164"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(7,125,262</w:t>
            </w:r>
          </w:p>
        </w:tc>
        <w:tc>
          <w:tcPr>
            <w:tcW w:w="320" w:type="dxa"/>
            <w:vAlign w:val="bottom"/>
            <w:tcBorders>
              <w:top w:val="single" w:sz="8" w:color="CCEEFF"/>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40" w:type="dxa"/>
            <w:vAlign w:val="bottom"/>
            <w:tcBorders>
              <w:top w:val="single" w:sz="8" w:color="auto"/>
              <w:bottom w:val="single" w:sz="8" w:color="auto"/>
            </w:tcBorders>
            <w:shd w:val="clear" w:color="auto" w:fill="CCEEFF"/>
          </w:tcPr>
          <w:p>
            <w:pPr>
              <w:jc w:val="right"/>
              <w:ind w:right="282"/>
              <w:spacing w:after="0" w:line="164"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719,325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restart"/>
          </w:tcPr>
          <w:p>
            <w:pPr>
              <w:spacing w:after="0"/>
              <w:rPr>
                <w:sz w:val="14"/>
                <w:szCs w:val="14"/>
                <w:color w:val="auto"/>
              </w:rPr>
            </w:pPr>
          </w:p>
        </w:tc>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income per share attributable to Class A and B common stockholders:</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1580" w:type="dxa"/>
            <w:vAlign w:val="bottom"/>
            <w:gridSpan w:val="2"/>
          </w:tcPr>
          <w:p>
            <w:pPr>
              <w:jc w:val="right"/>
              <w:ind w:right="1002"/>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(0.25)</w:t>
            </w:r>
          </w:p>
        </w:tc>
        <w:tc>
          <w:tcPr>
            <w:tcW w:w="44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0.03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540" w:type="dxa"/>
            <w:vAlign w:val="bottom"/>
            <w:tcBorders>
              <w:top w:val="single" w:sz="8" w:color="CCEEFF"/>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Diluted</w:t>
            </w: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ind w:right="1002"/>
              <w:spacing w:after="0" w:line="164"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(0.25</w:t>
            </w:r>
          </w:p>
        </w:tc>
        <w:tc>
          <w:tcPr>
            <w:tcW w:w="320" w:type="dxa"/>
            <w:vAlign w:val="bottom"/>
            <w:tcBorders>
              <w:top w:val="single" w:sz="8" w:color="CCEEFF"/>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40" w:type="dxa"/>
            <w:vAlign w:val="bottom"/>
            <w:tcBorders>
              <w:top w:val="single" w:sz="8" w:color="auto"/>
              <w:bottom w:val="single" w:sz="8" w:color="auto"/>
            </w:tcBorders>
            <w:shd w:val="clear" w:color="auto" w:fill="CCEEFF"/>
          </w:tcPr>
          <w:p>
            <w:pPr>
              <w:jc w:val="right"/>
              <w:ind w:right="282"/>
              <w:spacing w:after="0" w:line="164"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0.03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restart"/>
          </w:tcPr>
          <w:p>
            <w:pPr>
              <w:spacing w:after="0"/>
              <w:rPr>
                <w:sz w:val="14"/>
                <w:szCs w:val="14"/>
                <w:color w:val="auto"/>
              </w:rPr>
            </w:pPr>
          </w:p>
        </w:tc>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654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Weighted-average shares used to compute income per share attributable to Class A common</w:t>
            </w: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40" w:type="dxa"/>
            <w:vAlign w:val="bottom"/>
            <w:shd w:val="clear" w:color="auto" w:fill="CCEEFF"/>
          </w:tcPr>
          <w:p>
            <w:pPr>
              <w:spacing w:after="0" w:line="238" w:lineRule="exact"/>
              <w:rPr>
                <w:sz w:val="20"/>
                <w:szCs w:val="20"/>
                <w:color w:val="auto"/>
              </w:rPr>
            </w:pPr>
            <w:r>
              <w:rPr>
                <w:rFonts w:ascii="Times New Roman" w:cs="Times New Roman" w:eastAsia="Times New Roman" w:hAnsi="Times New Roman"/>
                <w:sz w:val="16"/>
                <w:szCs w:val="16"/>
                <w:b w:val="1"/>
                <w:bCs w:val="1"/>
                <w:color w:val="auto"/>
              </w:rPr>
              <w:t>stockholders</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7,911,369</w:t>
            </w:r>
          </w:p>
        </w:tc>
        <w:tc>
          <w:tcPr>
            <w:tcW w:w="44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9,131,512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540" w:type="dxa"/>
            <w:vAlign w:val="bottom"/>
            <w:tcBorders>
              <w:top w:val="single" w:sz="8" w:color="CCEEFF"/>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Diluted</w:t>
            </w: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7,911,369</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9,131,512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restart"/>
          </w:tcPr>
          <w:p>
            <w:pPr>
              <w:spacing w:after="0"/>
              <w:rPr>
                <w:sz w:val="14"/>
                <w:szCs w:val="14"/>
                <w:color w:val="auto"/>
              </w:rPr>
            </w:pPr>
          </w:p>
        </w:tc>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5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Weighted-average shares used to compute income per share attributable to Class B common</w:t>
            </w:r>
          </w:p>
        </w:tc>
        <w:tc>
          <w:tcPr>
            <w:tcW w:w="4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28,748,580</w:t>
            </w:r>
          </w:p>
        </w:tc>
        <w:tc>
          <w:tcPr>
            <w:tcW w:w="44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28,748,580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540" w:type="dxa"/>
            <w:vAlign w:val="bottom"/>
            <w:tcBorders>
              <w:top w:val="single" w:sz="8" w:color="CCEEFF"/>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Diluted</w:t>
            </w: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28,748,580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28,748,580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706" w:right="1280" w:hanging="3706"/>
        <w:spacing w:after="0" w:line="491" w:lineRule="auto"/>
        <w:tabs>
          <w:tab w:leader="none" w:pos="277"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The shares used for the denominator in the calculation of EPS are presented as if the IPO occurred on January 1, 2022 for comparative purposes. </w:t>
      </w:r>
      <w:r>
        <w:rPr>
          <w:rFonts w:ascii="Times New Roman" w:cs="Times New Roman" w:eastAsia="Times New Roman" w:hAnsi="Times New Roman"/>
          <w:sz w:val="16"/>
          <w:szCs w:val="16"/>
          <w:i w:val="1"/>
          <w:iCs w:val="1"/>
          <w:color w:val="auto"/>
        </w:rPr>
        <w:t>See accompanying notes to consolidated financial statements</w:t>
      </w:r>
    </w:p>
    <w:p>
      <w:pPr>
        <w:spacing w:after="0" w:line="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497" w:right="319" w:bottom="875" w:gutter="0" w:footer="0" w:header="0"/>
        </w:sectPr>
      </w:pPr>
    </w:p>
    <w:bookmarkStart w:id="63" w:name="page64"/>
    <w:bookmarkEnd w:id="63"/>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 Statements of Equity for the Years Ended December 31,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60" w:type="dxa"/>
            <w:vAlign w:val="bottom"/>
            <w:gridSpan w:val="42"/>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4120" w:type="dxa"/>
            <w:vAlign w:val="bottom"/>
            <w:gridSpan w:val="23"/>
          </w:tcPr>
          <w:p>
            <w:pPr>
              <w:jc w:val="center"/>
              <w:ind w:right="3280"/>
              <w:spacing w:after="0"/>
              <w:rPr>
                <w:sz w:val="20"/>
                <w:szCs w:val="20"/>
                <w:color w:val="auto"/>
              </w:rPr>
            </w:pPr>
            <w:r>
              <w:rPr>
                <w:rFonts w:ascii="Times New Roman" w:cs="Times New Roman" w:eastAsia="Times New Roman" w:hAnsi="Times New Roman"/>
                <w:sz w:val="16"/>
                <w:szCs w:val="16"/>
                <w:b w:val="1"/>
                <w:bCs w:val="1"/>
                <w:color w:val="auto"/>
                <w:w w:val="97"/>
              </w:rPr>
              <w:t>Due from</w:t>
            </w:r>
          </w:p>
        </w:tc>
        <w:tc>
          <w:tcPr>
            <w:tcW w:w="2160" w:type="dxa"/>
            <w:vAlign w:val="bottom"/>
            <w:gridSpan w:val="16"/>
          </w:tcPr>
          <w:p>
            <w:pPr>
              <w:jc w:val="center"/>
              <w:ind w:right="1580"/>
              <w:spacing w:after="0"/>
              <w:rPr>
                <w:sz w:val="20"/>
                <w:szCs w:val="20"/>
                <w:color w:val="auto"/>
              </w:rPr>
            </w:pPr>
            <w:r>
              <w:rPr>
                <w:rFonts w:ascii="Times New Roman" w:cs="Times New Roman" w:eastAsia="Times New Roman" w:hAnsi="Times New Roman"/>
                <w:sz w:val="16"/>
                <w:szCs w:val="16"/>
                <w:b w:val="1"/>
                <w:bCs w:val="1"/>
                <w:color w:val="auto"/>
                <w:w w:val="97"/>
              </w:rPr>
              <w:t>Snail</w:t>
            </w:r>
          </w:p>
        </w:tc>
        <w:tc>
          <w:tcPr>
            <w:tcW w:w="0" w:type="dxa"/>
            <w:vAlign w:val="bottom"/>
          </w:tcPr>
          <w:p>
            <w:pPr>
              <w:spacing w:after="0"/>
              <w:rPr>
                <w:sz w:val="1"/>
                <w:szCs w:val="1"/>
                <w:color w:val="auto"/>
              </w:rPr>
            </w:pPr>
          </w:p>
        </w:tc>
      </w:tr>
      <w:tr>
        <w:trPr>
          <w:trHeight w:val="188"/>
        </w:trPr>
        <w:tc>
          <w:tcPr>
            <w:tcW w:w="182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Stock -</w:t>
            </w:r>
          </w:p>
        </w:tc>
        <w:tc>
          <w:tcPr>
            <w:tcW w:w="3240" w:type="dxa"/>
            <w:vAlign w:val="bottom"/>
            <w:gridSpan w:val="28"/>
          </w:tcPr>
          <w:p>
            <w:pPr>
              <w:jc w:val="center"/>
              <w:ind w:right="2142"/>
              <w:spacing w:after="0"/>
              <w:rPr>
                <w:sz w:val="20"/>
                <w:szCs w:val="20"/>
                <w:color w:val="auto"/>
              </w:rPr>
            </w:pPr>
            <w:r>
              <w:rPr>
                <w:rFonts w:ascii="Times New Roman" w:cs="Times New Roman" w:eastAsia="Times New Roman" w:hAnsi="Times New Roman"/>
                <w:sz w:val="16"/>
                <w:szCs w:val="16"/>
                <w:b w:val="1"/>
                <w:bCs w:val="1"/>
                <w:color w:val="auto"/>
                <w:w w:val="96"/>
              </w:rPr>
              <w:t>Class A</w:t>
            </w:r>
          </w:p>
        </w:tc>
        <w:tc>
          <w:tcPr>
            <w:tcW w:w="980" w:type="dxa"/>
            <w:vAlign w:val="bottom"/>
            <w:gridSpan w:val="5"/>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w w:val="97"/>
              </w:rPr>
              <w:t>Shareholder</w:t>
            </w:r>
          </w:p>
        </w:tc>
        <w:tc>
          <w:tcPr>
            <w:tcW w:w="3140" w:type="dxa"/>
            <w:vAlign w:val="bottom"/>
            <w:gridSpan w:val="18"/>
          </w:tcPr>
          <w:p>
            <w:pPr>
              <w:jc w:val="center"/>
              <w:ind w:right="20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160" w:type="dxa"/>
            <w:vAlign w:val="bottom"/>
            <w:gridSpan w:val="16"/>
          </w:tcPr>
          <w:p>
            <w:pPr>
              <w:jc w:val="center"/>
              <w:ind w:right="1580"/>
              <w:spacing w:after="0"/>
              <w:rPr>
                <w:sz w:val="20"/>
                <w:szCs w:val="20"/>
                <w:color w:val="auto"/>
              </w:rPr>
            </w:pPr>
            <w:r>
              <w:rPr>
                <w:rFonts w:ascii="Times New Roman" w:cs="Times New Roman" w:eastAsia="Times New Roman" w:hAnsi="Times New Roman"/>
                <w:sz w:val="16"/>
                <w:szCs w:val="16"/>
                <w:b w:val="1"/>
                <w:bCs w:val="1"/>
                <w:color w:val="auto"/>
                <w:w w:val="97"/>
              </w:rPr>
              <w:t>Games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Snail Games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3"/>
              </w:rPr>
              <w:t>Class B</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Loan and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jc w:val="center"/>
              <w:ind w:left="10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USA</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Non</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USA Inc.</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bottom w:val="single" w:sz="8" w:color="auto"/>
            </w:tcBorders>
            <w:gridSpan w:val="6"/>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gridSpan w:val="2"/>
          </w:tcPr>
          <w:p>
            <w:pPr>
              <w:spacing w:after="0"/>
              <w:rPr>
                <w:sz w:val="18"/>
                <w:szCs w:val="18"/>
                <w:color w:val="auto"/>
              </w:rPr>
            </w:pPr>
          </w:p>
        </w:tc>
        <w:tc>
          <w:tcPr>
            <w:tcW w:w="10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Paid-In-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5"/>
              </w:rPr>
              <w:t>Comprehensive</w:t>
            </w:r>
          </w:p>
        </w:tc>
        <w:tc>
          <w:tcPr>
            <w:tcW w:w="20" w:type="dxa"/>
            <w:vAlign w:val="bottom"/>
          </w:tcPr>
          <w:p>
            <w:pPr>
              <w:spacing w:after="0"/>
              <w:rPr>
                <w:sz w:val="18"/>
                <w:szCs w:val="18"/>
                <w:color w:val="auto"/>
              </w:rPr>
            </w:pPr>
          </w:p>
        </w:tc>
        <w:tc>
          <w:tcPr>
            <w:tcW w:w="66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bottom w:val="single" w:sz="8" w:color="auto"/>
            </w:tcBorders>
            <w:gridSpan w:val="6"/>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8"/>
                <w:szCs w:val="18"/>
                <w:color w:val="auto"/>
              </w:rPr>
            </w:pPr>
          </w:p>
        </w:tc>
        <w:tc>
          <w:tcPr>
            <w:tcW w:w="60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Inc.</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6"/>
              </w:rPr>
              <w:t>controlling</w:t>
            </w:r>
          </w:p>
        </w:tc>
        <w:tc>
          <w:tcPr>
            <w:tcW w:w="60" w:type="dxa"/>
            <w:vAlign w:val="bottom"/>
          </w:tcPr>
          <w:p>
            <w:pPr>
              <w:spacing w:after="0"/>
              <w:rPr>
                <w:sz w:val="18"/>
                <w:szCs w:val="18"/>
                <w:color w:val="auto"/>
              </w:rPr>
            </w:pPr>
          </w:p>
        </w:tc>
        <w:tc>
          <w:tcPr>
            <w:tcW w:w="540" w:type="dxa"/>
            <w:vAlign w:val="bottom"/>
            <w:gridSpan w:val="4"/>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80" w:type="dxa"/>
            <w:vAlign w:val="bottom"/>
            <w:gridSpan w:val="6"/>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5"/>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ind w:left="88"/>
              <w:spacing w:after="0"/>
              <w:rPr>
                <w:sz w:val="20"/>
                <w:szCs w:val="20"/>
                <w:color w:val="auto"/>
              </w:rPr>
            </w:pPr>
            <w:r>
              <w:rPr>
                <w:rFonts w:ascii="Times New Roman" w:cs="Times New Roman" w:eastAsia="Times New Roman" w:hAnsi="Times New Roman"/>
                <w:sz w:val="11"/>
                <w:szCs w:val="11"/>
                <w:b w:val="1"/>
                <w:bCs w:val="1"/>
                <w:color w:val="auto"/>
              </w:rPr>
              <w:t>Loss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4"/>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0" w:type="dxa"/>
            <w:vAlign w:val="bottom"/>
          </w:tcPr>
          <w:p>
            <w:pPr>
              <w:spacing w:after="0"/>
              <w:rPr>
                <w:sz w:val="17"/>
                <w:szCs w:val="17"/>
                <w:color w:val="auto"/>
              </w:rPr>
            </w:pP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tcBorders>
              <w:top w:val="single" w:sz="8" w:color="CCEEFF"/>
            </w:tcBorders>
            <w:gridSpan w:val="2"/>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60" w:type="dxa"/>
            <w:vAlign w:val="bottom"/>
            <w:tcBorders>
              <w:top w:val="single" w:sz="8" w:color="auto"/>
            </w:tcBorders>
            <w:gridSpan w:val="4"/>
            <w:shd w:val="clear" w:color="auto" w:fill="CCEEFF"/>
          </w:tcPr>
          <w:p>
            <w:pPr>
              <w:spacing w:after="0"/>
              <w:rPr>
                <w:sz w:val="7"/>
                <w:szCs w:val="7"/>
                <w:color w:val="auto"/>
              </w:rPr>
            </w:pPr>
          </w:p>
        </w:tc>
        <w:tc>
          <w:tcPr>
            <w:tcW w:w="140" w:type="dxa"/>
            <w:vAlign w:val="bottom"/>
            <w:tcBorders>
              <w:top w:val="single" w:sz="8" w:color="CCEEFF"/>
            </w:tcBorders>
            <w:gridSpan w:val="3"/>
            <w:shd w:val="clear" w:color="auto" w:fill="CCEEFF"/>
          </w:tcPr>
          <w:p>
            <w:pPr>
              <w:spacing w:after="0"/>
              <w:rPr>
                <w:sz w:val="7"/>
                <w:szCs w:val="7"/>
                <w:color w:val="auto"/>
              </w:rPr>
            </w:pPr>
          </w:p>
        </w:tc>
        <w:tc>
          <w:tcPr>
            <w:tcW w:w="460" w:type="dxa"/>
            <w:vAlign w:val="bottom"/>
            <w:tcBorders>
              <w:top w:val="single" w:sz="8" w:color="auto"/>
            </w:tcBorders>
            <w:gridSpan w:val="2"/>
            <w:shd w:val="clear" w:color="auto" w:fill="CCEEFF"/>
          </w:tcPr>
          <w:p>
            <w:pPr>
              <w:spacing w:after="0"/>
              <w:rPr>
                <w:sz w:val="7"/>
                <w:szCs w:val="7"/>
                <w:color w:val="auto"/>
              </w:rPr>
            </w:pPr>
          </w:p>
        </w:tc>
        <w:tc>
          <w:tcPr>
            <w:tcW w:w="80" w:type="dxa"/>
            <w:vAlign w:val="bottom"/>
            <w:tcBorders>
              <w:top w:val="single" w:sz="8" w:color="CCEEFF"/>
            </w:tcBorders>
            <w:gridSpan w:val="2"/>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spacing w:after="0"/>
              <w:rPr>
                <w:sz w:val="7"/>
                <w:szCs w:val="7"/>
                <w:color w:val="auto"/>
              </w:rPr>
            </w:pPr>
          </w:p>
        </w:tc>
        <w:tc>
          <w:tcPr>
            <w:tcW w:w="140" w:type="dxa"/>
            <w:vAlign w:val="bottom"/>
            <w:tcBorders>
              <w:top w:val="single" w:sz="8" w:color="CCEEFF"/>
            </w:tcBorders>
            <w:gridSpan w:val="2"/>
            <w:shd w:val="clear" w:color="auto" w:fill="CCEEFF"/>
          </w:tcPr>
          <w:p>
            <w:pPr>
              <w:spacing w:after="0"/>
              <w:rPr>
                <w:sz w:val="7"/>
                <w:szCs w:val="7"/>
                <w:color w:val="auto"/>
              </w:rPr>
            </w:pPr>
          </w:p>
        </w:tc>
        <w:tc>
          <w:tcPr>
            <w:tcW w:w="500" w:type="dxa"/>
            <w:vAlign w:val="bottom"/>
            <w:tcBorders>
              <w:top w:val="single" w:sz="8" w:color="auto"/>
            </w:tcBorders>
            <w:gridSpan w:val="5"/>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gridSpan w:val="4"/>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760" w:type="dxa"/>
            <w:vAlign w:val="bottom"/>
            <w:tcBorders>
              <w:top w:val="single" w:sz="8" w:color="auto"/>
            </w:tcBorders>
            <w:gridSpan w:val="5"/>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900" w:type="dxa"/>
            <w:vAlign w:val="bottom"/>
            <w:tcBorders>
              <w:top w:val="single" w:sz="8" w:color="auto"/>
            </w:tcBorders>
            <w:gridSpan w:val="4"/>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auto"/>
            </w:tcBorders>
            <w:gridSpan w:val="4"/>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600" w:type="dxa"/>
            <w:vAlign w:val="bottom"/>
            <w:tcBorders>
              <w:top w:val="single" w:sz="8" w:color="auto"/>
            </w:tcBorders>
            <w:gridSpan w:val="3"/>
            <w:shd w:val="clear" w:color="auto" w:fill="CCEEFF"/>
          </w:tcPr>
          <w:p>
            <w:pPr>
              <w:spacing w:after="0"/>
              <w:rPr>
                <w:sz w:val="7"/>
                <w:szCs w:val="7"/>
                <w:color w:val="auto"/>
              </w:rPr>
            </w:pPr>
          </w:p>
        </w:tc>
        <w:tc>
          <w:tcPr>
            <w:tcW w:w="140" w:type="dxa"/>
            <w:vAlign w:val="bottom"/>
            <w:tcBorders>
              <w:top w:val="single" w:sz="8" w:color="CCEEFF"/>
            </w:tcBorders>
            <w:gridSpan w:val="3"/>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40" w:type="dxa"/>
            <w:vAlign w:val="bottom"/>
            <w:tcBorders>
              <w:top w:val="single" w:sz="8" w:color="auto"/>
            </w:tcBorders>
            <w:gridSpan w:val="3"/>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gridSpan w:val="3"/>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840" w:type="dxa"/>
            <w:vAlign w:val="bottom"/>
            <w:tcBorders>
              <w:top w:val="single" w:sz="8" w:color="auto"/>
            </w:tcBorders>
            <w:gridSpan w:val="5"/>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gridSpan w:val="4"/>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340" w:type="dxa"/>
            <w:vAlign w:val="bottom"/>
            <w:gridSpan w:val="81"/>
          </w:tcPr>
          <w:p>
            <w:pPr>
              <w:spacing w:after="0"/>
              <w:rPr>
                <w:sz w:val="20"/>
                <w:szCs w:val="20"/>
                <w:color w:val="auto"/>
              </w:rPr>
            </w:pPr>
            <w:r>
              <w:rPr>
                <w:rFonts w:ascii="Times New Roman" w:cs="Times New Roman" w:eastAsia="Times New Roman" w:hAnsi="Times New Roman"/>
                <w:sz w:val="11"/>
                <w:szCs w:val="11"/>
                <w:b w:val="1"/>
                <w:bCs w:val="1"/>
                <w:color w:val="auto"/>
              </w:rPr>
              <w:t>December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31, 2021</w:t>
            </w:r>
          </w:p>
        </w:tc>
        <w:tc>
          <w:tcPr>
            <w:tcW w:w="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500,000</w:t>
            </w: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5,000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94,159,167</w:t>
            </w: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(94,353,522)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(266,557)</w:t>
            </w: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$ 16,045,231</w:t>
            </w: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4"/>
              </w:rPr>
              <w:t>$15,589,319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(5,537,266)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6"/>
              </w:rPr>
              <w:t>10,052,053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11320" w:type="dxa"/>
            <w:vAlign w:val="bottom"/>
            <w:gridSpan w:val="80"/>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Loan to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shareholder</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(580,878)</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(580,878)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(580,878)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11320" w:type="dxa"/>
            <w:vAlign w:val="bottom"/>
            <w:gridSpan w:val="80"/>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Dividend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(73,078,112)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94,934,400</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(21,856,288)</w:t>
            </w: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11320" w:type="dxa"/>
            <w:vAlign w:val="bottom"/>
            <w:gridSpan w:val="80"/>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Withholding</w:t>
            </w:r>
          </w:p>
        </w:tc>
        <w:tc>
          <w:tcPr>
            <w:tcW w:w="0" w:type="dxa"/>
            <w:vAlign w:val="bottom"/>
          </w:tcPr>
          <w:p>
            <w:pPr>
              <w:spacing w:after="0"/>
              <w:rPr>
                <w:sz w:val="1"/>
                <w:szCs w:val="1"/>
                <w:color w:val="auto"/>
              </w:rPr>
            </w:pPr>
          </w:p>
        </w:tc>
      </w:tr>
      <w:tr>
        <w:trPr>
          <w:trHeight w:val="118"/>
        </w:trPr>
        <w:tc>
          <w:tcPr>
            <w:tcW w:w="11340" w:type="dxa"/>
            <w:vAlign w:val="bottom"/>
            <w:gridSpan w:val="81"/>
          </w:tcPr>
          <w:p>
            <w:pPr>
              <w:spacing w:after="0"/>
              <w:rPr>
                <w:sz w:val="20"/>
                <w:szCs w:val="20"/>
                <w:color w:val="auto"/>
              </w:rPr>
            </w:pPr>
            <w:r>
              <w:rPr>
                <w:rFonts w:ascii="Times New Roman" w:cs="Times New Roman" w:eastAsia="Times New Roman" w:hAnsi="Times New Roman"/>
                <w:sz w:val="11"/>
                <w:szCs w:val="11"/>
                <w:color w:val="auto"/>
              </w:rPr>
              <w:t>tax</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(8,200,000)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(8,200,000)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(8,200,000)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11320" w:type="dxa"/>
            <w:vAlign w:val="bottom"/>
            <w:gridSpan w:val="80"/>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Reclass of</w:t>
            </w:r>
          </w:p>
        </w:tc>
        <w:tc>
          <w:tcPr>
            <w:tcW w:w="0" w:type="dxa"/>
            <w:vAlign w:val="bottom"/>
          </w:tcPr>
          <w:p>
            <w:pPr>
              <w:spacing w:after="0"/>
              <w:rPr>
                <w:sz w:val="1"/>
                <w:szCs w:val="1"/>
                <w:color w:val="auto"/>
              </w:rPr>
            </w:pPr>
          </w:p>
        </w:tc>
      </w:tr>
      <w:tr>
        <w:trPr>
          <w:trHeight w:val="118"/>
        </w:trPr>
        <w:tc>
          <w:tcPr>
            <w:tcW w:w="11340" w:type="dxa"/>
            <w:vAlign w:val="bottom"/>
            <w:gridSpan w:val="81"/>
          </w:tcPr>
          <w:p>
            <w:pPr>
              <w:spacing w:after="0"/>
              <w:rPr>
                <w:sz w:val="20"/>
                <w:szCs w:val="20"/>
                <w:color w:val="auto"/>
              </w:rPr>
            </w:pPr>
            <w:r>
              <w:rPr>
                <w:rFonts w:ascii="Times New Roman" w:cs="Times New Roman" w:eastAsia="Times New Roman" w:hAnsi="Times New Roman"/>
                <w:sz w:val="11"/>
                <w:szCs w:val="11"/>
                <w:color w:val="auto"/>
              </w:rPr>
              <w:t>common</w:t>
            </w:r>
          </w:p>
        </w:tc>
        <w:tc>
          <w:tcPr>
            <w:tcW w:w="0" w:type="dxa"/>
            <w:vAlign w:val="bottom"/>
          </w:tcPr>
          <w:p>
            <w:pPr>
              <w:spacing w:after="0"/>
              <w:rPr>
                <w:sz w:val="1"/>
                <w:szCs w:val="1"/>
                <w:color w:val="auto"/>
              </w:rPr>
            </w:pPr>
          </w:p>
        </w:tc>
      </w:tr>
      <w:tr>
        <w:trPr>
          <w:trHeight w:val="118"/>
        </w:trPr>
        <w:tc>
          <w:tcPr>
            <w:tcW w:w="11340" w:type="dxa"/>
            <w:vAlign w:val="bottom"/>
            <w:gridSpan w:val="81"/>
          </w:tcPr>
          <w:p>
            <w:pPr>
              <w:spacing w:after="0"/>
              <w:rPr>
                <w:sz w:val="20"/>
                <w:szCs w:val="20"/>
                <w:color w:val="auto"/>
              </w:rPr>
            </w:pPr>
            <w:r>
              <w:rPr>
                <w:rFonts w:ascii="Times New Roman" w:cs="Times New Roman" w:eastAsia="Times New Roman" w:hAnsi="Times New Roman"/>
                <w:sz w:val="11"/>
                <w:szCs w:val="11"/>
                <w:color w:val="auto"/>
              </w:rPr>
              <w:t>stock due to</w:t>
            </w:r>
          </w:p>
        </w:tc>
        <w:tc>
          <w:tcPr>
            <w:tcW w:w="0" w:type="dxa"/>
            <w:vAlign w:val="bottom"/>
          </w:tcPr>
          <w:p>
            <w:pPr>
              <w:spacing w:after="0"/>
              <w:rPr>
                <w:sz w:val="1"/>
                <w:szCs w:val="1"/>
                <w:color w:val="auto"/>
              </w:rPr>
            </w:pPr>
          </w:p>
        </w:tc>
      </w:tr>
      <w:tr>
        <w:trPr>
          <w:trHeight w:val="118"/>
        </w:trPr>
        <w:tc>
          <w:tcPr>
            <w:tcW w:w="11340" w:type="dxa"/>
            <w:vAlign w:val="bottom"/>
            <w:gridSpan w:val="81"/>
          </w:tcPr>
          <w:p>
            <w:pPr>
              <w:spacing w:after="0"/>
              <w:rPr>
                <w:sz w:val="20"/>
                <w:szCs w:val="20"/>
                <w:color w:val="auto"/>
              </w:rPr>
            </w:pPr>
            <w:r>
              <w:rPr>
                <w:rFonts w:ascii="Times New Roman" w:cs="Times New Roman" w:eastAsia="Times New Roman" w:hAnsi="Times New Roman"/>
                <w:sz w:val="11"/>
                <w:szCs w:val="11"/>
                <w:color w:val="auto"/>
              </w:rPr>
              <w:t>IPO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reorganization</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(500,000)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(5,000)</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6,251,420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625</w:t>
            </w:r>
          </w:p>
        </w:tc>
        <w:tc>
          <w:tcPr>
            <w:tcW w:w="40" w:type="dxa"/>
            <w:vAlign w:val="bottom"/>
            <w:shd w:val="clear" w:color="auto" w:fill="CCEEFF"/>
          </w:tcPr>
          <w:p>
            <w:pPr>
              <w:spacing w:after="0"/>
              <w:rPr>
                <w:sz w:val="11"/>
                <w:szCs w:val="11"/>
                <w:color w:val="auto"/>
              </w:rPr>
            </w:pPr>
          </w:p>
        </w:tc>
        <w:tc>
          <w:tcPr>
            <w:tcW w:w="5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96"/>
              </w:rPr>
              <w:t>28,748,580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96"/>
              </w:rPr>
              <w:t>2,875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8"/>
              </w:rPr>
              <w:t>1,500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11320" w:type="dxa"/>
            <w:vAlign w:val="bottom"/>
            <w:gridSpan w:val="80"/>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Warrants</w:t>
            </w:r>
          </w:p>
        </w:tc>
        <w:tc>
          <w:tcPr>
            <w:tcW w:w="0" w:type="dxa"/>
            <w:vAlign w:val="bottom"/>
          </w:tcPr>
          <w:p>
            <w:pPr>
              <w:spacing w:after="0"/>
              <w:rPr>
                <w:sz w:val="1"/>
                <w:szCs w:val="1"/>
                <w:color w:val="auto"/>
              </w:rPr>
            </w:pPr>
          </w:p>
        </w:tc>
      </w:tr>
      <w:tr>
        <w:trPr>
          <w:trHeight w:val="118"/>
        </w:trPr>
        <w:tc>
          <w:tcPr>
            <w:tcW w:w="11340" w:type="dxa"/>
            <w:vAlign w:val="bottom"/>
            <w:gridSpan w:val="81"/>
          </w:tcPr>
          <w:p>
            <w:pPr>
              <w:spacing w:after="0"/>
              <w:rPr>
                <w:sz w:val="20"/>
                <w:szCs w:val="20"/>
                <w:color w:val="auto"/>
              </w:rPr>
            </w:pPr>
            <w:r>
              <w:rPr>
                <w:rFonts w:ascii="Times New Roman" w:cs="Times New Roman" w:eastAsia="Times New Roman" w:hAnsi="Times New Roman"/>
                <w:sz w:val="11"/>
                <w:szCs w:val="11"/>
                <w:color w:val="auto"/>
              </w:rPr>
              <w:t>issued to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underwriters</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193,927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193,927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193,927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11320" w:type="dxa"/>
            <w:vAlign w:val="bottom"/>
            <w:gridSpan w:val="80"/>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IPO, net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offering costs</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3,000,000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10,137,210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10,137,510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96"/>
              </w:rPr>
              <w:t>10,137,510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11320" w:type="dxa"/>
            <w:vAlign w:val="bottom"/>
            <w:gridSpan w:val="80"/>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Stock-based</w:t>
            </w:r>
          </w:p>
        </w:tc>
        <w:tc>
          <w:tcPr>
            <w:tcW w:w="0" w:type="dxa"/>
            <w:vAlign w:val="bottom"/>
          </w:tcPr>
          <w:p>
            <w:pPr>
              <w:spacing w:after="0"/>
              <w:rPr>
                <w:sz w:val="1"/>
                <w:szCs w:val="1"/>
                <w:color w:val="auto"/>
              </w:rPr>
            </w:pPr>
          </w:p>
        </w:tc>
      </w:tr>
      <w:tr>
        <w:trPr>
          <w:trHeight w:val="118"/>
        </w:trPr>
        <w:tc>
          <w:tcPr>
            <w:tcW w:w="11340" w:type="dxa"/>
            <w:vAlign w:val="bottom"/>
            <w:gridSpan w:val="81"/>
          </w:tcPr>
          <w:p>
            <w:pPr>
              <w:spacing w:after="0"/>
              <w:rPr>
                <w:sz w:val="20"/>
                <w:szCs w:val="20"/>
                <w:color w:val="auto"/>
              </w:rPr>
            </w:pPr>
            <w:r>
              <w:rPr>
                <w:rFonts w:ascii="Times New Roman" w:cs="Times New Roman" w:eastAsia="Times New Roman" w:hAnsi="Times New Roman"/>
                <w:sz w:val="11"/>
                <w:szCs w:val="11"/>
                <w:color w:val="auto"/>
              </w:rPr>
              <w:t>compensation</w:t>
            </w:r>
          </w:p>
        </w:tc>
        <w:tc>
          <w:tcPr>
            <w:tcW w:w="0" w:type="dxa"/>
            <w:vAlign w:val="bottom"/>
          </w:tcPr>
          <w:p>
            <w:pPr>
              <w:spacing w:after="0"/>
              <w:rPr>
                <w:sz w:val="1"/>
                <w:szCs w:val="1"/>
                <w:color w:val="auto"/>
              </w:rPr>
            </w:pPr>
          </w:p>
        </w:tc>
      </w:tr>
      <w:tr>
        <w:trPr>
          <w:trHeight w:val="118"/>
        </w:trPr>
        <w:tc>
          <w:tcPr>
            <w:tcW w:w="11340" w:type="dxa"/>
            <w:vAlign w:val="bottom"/>
            <w:gridSpan w:val="81"/>
          </w:tcPr>
          <w:p>
            <w:pPr>
              <w:spacing w:after="0"/>
              <w:rPr>
                <w:sz w:val="20"/>
                <w:szCs w:val="20"/>
                <w:color w:val="auto"/>
              </w:rPr>
            </w:pPr>
            <w:r>
              <w:rPr>
                <w:rFonts w:ascii="Times New Roman" w:cs="Times New Roman" w:eastAsia="Times New Roman" w:hAnsi="Times New Roman"/>
                <w:sz w:val="11"/>
                <w:szCs w:val="11"/>
                <w:color w:val="auto"/>
              </w:rPr>
              <w:t>related to</w:t>
            </w:r>
          </w:p>
        </w:tc>
        <w:tc>
          <w:tcPr>
            <w:tcW w:w="0" w:type="dxa"/>
            <w:vAlign w:val="bottom"/>
          </w:tcPr>
          <w:p>
            <w:pPr>
              <w:spacing w:after="0"/>
              <w:rPr>
                <w:sz w:val="1"/>
                <w:szCs w:val="1"/>
                <w:color w:val="auto"/>
              </w:rPr>
            </w:pPr>
          </w:p>
        </w:tc>
      </w:tr>
      <w:tr>
        <w:trPr>
          <w:trHeight w:val="118"/>
        </w:trPr>
        <w:tc>
          <w:tcPr>
            <w:tcW w:w="11340" w:type="dxa"/>
            <w:vAlign w:val="bottom"/>
            <w:gridSpan w:val="81"/>
          </w:tcPr>
          <w:p>
            <w:pPr>
              <w:spacing w:after="0"/>
              <w:rPr>
                <w:sz w:val="20"/>
                <w:szCs w:val="20"/>
                <w:color w:val="auto"/>
              </w:rPr>
            </w:pPr>
            <w:r>
              <w:rPr>
                <w:rFonts w:ascii="Times New Roman" w:cs="Times New Roman" w:eastAsia="Times New Roman" w:hAnsi="Times New Roman"/>
                <w:sz w:val="11"/>
                <w:szCs w:val="11"/>
                <w:color w:val="auto"/>
              </w:rPr>
              <w:t>restricted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units</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223,250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223,250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223,250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11320" w:type="dxa"/>
            <w:vAlign w:val="bottom"/>
            <w:gridSpan w:val="80"/>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Repurchase of</w:t>
            </w:r>
          </w:p>
        </w:tc>
        <w:tc>
          <w:tcPr>
            <w:tcW w:w="0" w:type="dxa"/>
            <w:vAlign w:val="bottom"/>
          </w:tcPr>
          <w:p>
            <w:pPr>
              <w:spacing w:after="0"/>
              <w:rPr>
                <w:sz w:val="1"/>
                <w:szCs w:val="1"/>
                <w:color w:val="auto"/>
              </w:rPr>
            </w:pPr>
          </w:p>
        </w:tc>
      </w:tr>
      <w:tr>
        <w:trPr>
          <w:trHeight w:val="118"/>
        </w:trPr>
        <w:tc>
          <w:tcPr>
            <w:tcW w:w="11340" w:type="dxa"/>
            <w:vAlign w:val="bottom"/>
            <w:gridSpan w:val="81"/>
          </w:tcPr>
          <w:p>
            <w:pPr>
              <w:spacing w:after="0"/>
              <w:rPr>
                <w:sz w:val="20"/>
                <w:szCs w:val="20"/>
                <w:color w:val="auto"/>
              </w:rPr>
            </w:pPr>
            <w:r>
              <w:rPr>
                <w:rFonts w:ascii="Times New Roman" w:cs="Times New Roman" w:eastAsia="Times New Roman" w:hAnsi="Times New Roman"/>
                <w:sz w:val="11"/>
                <w:szCs w:val="11"/>
                <w:color w:val="auto"/>
              </w:rPr>
              <w:t>common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(1,197,649)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97"/>
              </w:rPr>
              <w:t>(3,414,713)</w:t>
            </w: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(3,414,713)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(3,414,713)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11320" w:type="dxa"/>
            <w:vAlign w:val="bottom"/>
            <w:gridSpan w:val="80"/>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Foreign</w:t>
            </w:r>
          </w:p>
        </w:tc>
        <w:tc>
          <w:tcPr>
            <w:tcW w:w="0" w:type="dxa"/>
            <w:vAlign w:val="bottom"/>
          </w:tcPr>
          <w:p>
            <w:pPr>
              <w:spacing w:after="0"/>
              <w:rPr>
                <w:sz w:val="1"/>
                <w:szCs w:val="1"/>
                <w:color w:val="auto"/>
              </w:rPr>
            </w:pPr>
          </w:p>
        </w:tc>
      </w:tr>
      <w:tr>
        <w:trPr>
          <w:trHeight w:val="118"/>
        </w:trPr>
        <w:tc>
          <w:tcPr>
            <w:tcW w:w="11340" w:type="dxa"/>
            <w:vAlign w:val="bottom"/>
            <w:gridSpan w:val="81"/>
          </w:tcPr>
          <w:p>
            <w:pPr>
              <w:spacing w:after="0"/>
              <w:rPr>
                <w:sz w:val="20"/>
                <w:szCs w:val="20"/>
                <w:color w:val="auto"/>
              </w:rPr>
            </w:pPr>
            <w:r>
              <w:rPr>
                <w:rFonts w:ascii="Times New Roman" w:cs="Times New Roman" w:eastAsia="Times New Roman" w:hAnsi="Times New Roman"/>
                <w:sz w:val="11"/>
                <w:szCs w:val="11"/>
                <w:color w:val="auto"/>
              </w:rPr>
              <w:t>currency</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translation</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(40,643)</w:t>
            </w: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(40,643)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(40,643)</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947,807</w:t>
            </w: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947,807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92"/>
              </w:rPr>
              <w:t>46,371</w:t>
            </w:r>
          </w:p>
        </w:tc>
        <w:tc>
          <w:tcPr>
            <w:tcW w:w="60" w:type="dxa"/>
            <w:vAlign w:val="bottom"/>
            <w:shd w:val="clear" w:color="auto" w:fill="CCEEFF"/>
          </w:tcPr>
          <w:p>
            <w:pPr>
              <w:spacing w:after="0"/>
              <w:rPr>
                <w:sz w:val="16"/>
                <w:szCs w:val="16"/>
                <w:color w:val="auto"/>
              </w:rPr>
            </w:pP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994,178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gridSpan w:val="3"/>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460" w:type="dxa"/>
            <w:vAlign w:val="bottom"/>
            <w:tcBorders>
              <w:top w:val="single" w:sz="8" w:color="auto"/>
            </w:tcBorders>
            <w:gridSpan w:val="4"/>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500" w:type="dxa"/>
            <w:vAlign w:val="bottom"/>
            <w:tcBorders>
              <w:top w:val="single" w:sz="8" w:color="auto"/>
            </w:tcBorders>
            <w:gridSpan w:val="3"/>
          </w:tcPr>
          <w:p>
            <w:pPr>
              <w:spacing w:after="0"/>
              <w:rPr>
                <w:sz w:val="16"/>
                <w:szCs w:val="16"/>
                <w:color w:val="auto"/>
              </w:rPr>
            </w:pPr>
          </w:p>
        </w:tc>
        <w:tc>
          <w:tcPr>
            <w:tcW w:w="80" w:type="dxa"/>
            <w:vAlign w:val="bottom"/>
            <w:tcBorders>
              <w:top w:val="single" w:sz="8" w:color="CCEEFF"/>
            </w:tcBorders>
            <w:gridSpan w:val="2"/>
          </w:tcPr>
          <w:p>
            <w:pPr>
              <w:spacing w:after="0"/>
              <w:rPr>
                <w:sz w:val="16"/>
                <w:szCs w:val="16"/>
                <w:color w:val="auto"/>
              </w:rPr>
            </w:pPr>
          </w:p>
        </w:tc>
        <w:tc>
          <w:tcPr>
            <w:tcW w:w="480" w:type="dxa"/>
            <w:vAlign w:val="bottom"/>
            <w:tcBorders>
              <w:top w:val="single" w:sz="8" w:color="auto"/>
            </w:tcBorders>
            <w:gridSpan w:val="2"/>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gridSpan w:val="6"/>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gridSpan w:val="4"/>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760" w:type="dxa"/>
            <w:vAlign w:val="bottom"/>
            <w:tcBorders>
              <w:top w:val="single" w:sz="8" w:color="auto"/>
            </w:tcBorders>
            <w:gridSpan w:val="5"/>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900" w:type="dxa"/>
            <w:vAlign w:val="bottom"/>
            <w:tcBorders>
              <w:top w:val="single" w:sz="8" w:color="auto"/>
            </w:tcBorders>
            <w:gridSpan w:val="4"/>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gridSpan w:val="4"/>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600" w:type="dxa"/>
            <w:vAlign w:val="bottom"/>
            <w:tcBorders>
              <w:top w:val="single" w:sz="8" w:color="auto"/>
            </w:tcBorders>
            <w:gridSpan w:val="3"/>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520" w:type="dxa"/>
            <w:vAlign w:val="bottom"/>
            <w:tcBorders>
              <w:top w:val="single" w:sz="8" w:color="auto"/>
            </w:tcBorders>
            <w:gridSpan w:val="2"/>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540" w:type="dxa"/>
            <w:vAlign w:val="bottom"/>
            <w:tcBorders>
              <w:top w:val="single" w:sz="8" w:color="auto"/>
            </w:tcBorders>
            <w:gridSpan w:val="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gridSpan w:val="3"/>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840" w:type="dxa"/>
            <w:vAlign w:val="bottom"/>
            <w:tcBorders>
              <w:top w:val="single" w:sz="8" w:color="auto"/>
            </w:tcBorders>
            <w:gridSpan w:val="5"/>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gridSpan w:val="4"/>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0" w:type="dxa"/>
            <w:vAlign w:val="bottom"/>
            <w:vMerge w:val="continue"/>
          </w:tcPr>
          <w:p>
            <w:pPr>
              <w:spacing w:after="0"/>
              <w:rPr>
                <w:sz w:val="8"/>
                <w:szCs w:val="8"/>
                <w:color w:val="auto"/>
              </w:rPr>
            </w:pPr>
          </w:p>
        </w:tc>
        <w:tc>
          <w:tcPr>
            <w:tcW w:w="11320" w:type="dxa"/>
            <w:vAlign w:val="bottom"/>
            <w:gridSpan w:val="80"/>
            <w:shd w:val="clear" w:color="auto" w:fill="CCEEFF"/>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4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9,251,420</w:t>
            </w:r>
          </w:p>
        </w:tc>
        <w:tc>
          <w:tcPr>
            <w:tcW w:w="60" w:type="dxa"/>
            <w:vAlign w:val="bottom"/>
            <w:shd w:val="clear" w:color="auto" w:fill="CCEEFF"/>
          </w:tcPr>
          <w:p>
            <w:pPr>
              <w:spacing w:after="0"/>
              <w:rPr>
                <w:sz w:val="10"/>
                <w:szCs w:val="10"/>
                <w:color w:val="auto"/>
              </w:rPr>
            </w:pPr>
          </w:p>
        </w:tc>
        <w:tc>
          <w:tcPr>
            <w:tcW w:w="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925</w:t>
            </w:r>
          </w:p>
        </w:tc>
        <w:tc>
          <w:tcPr>
            <w:tcW w:w="40" w:type="dxa"/>
            <w:vAlign w:val="bottom"/>
            <w:shd w:val="clear" w:color="auto" w:fill="CCEEFF"/>
          </w:tcPr>
          <w:p>
            <w:pPr>
              <w:spacing w:after="0"/>
              <w:rPr>
                <w:sz w:val="10"/>
                <w:szCs w:val="10"/>
                <w:color w:val="auto"/>
              </w:rPr>
            </w:pPr>
          </w:p>
        </w:tc>
        <w:tc>
          <w:tcPr>
            <w:tcW w:w="580" w:type="dxa"/>
            <w:vAlign w:val="bottom"/>
            <w:gridSpan w:val="6"/>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6"/>
              </w:rPr>
              <w:t>28,748,580</w:t>
            </w:r>
          </w:p>
        </w:tc>
        <w:tc>
          <w:tcPr>
            <w:tcW w:w="1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6"/>
              </w:rPr>
              <w:t>2,875</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5"/>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23,436,942</w:t>
            </w:r>
          </w:p>
        </w:tc>
        <w:tc>
          <w:tcPr>
            <w:tcW w:w="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(307,200)</w:t>
            </w:r>
          </w:p>
        </w:tc>
        <w:tc>
          <w:tcPr>
            <w:tcW w:w="680" w:type="dxa"/>
            <w:vAlign w:val="bottom"/>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 (4,863,250)</w:t>
            </w:r>
          </w:p>
        </w:tc>
        <w:tc>
          <w:tcPr>
            <w:tcW w:w="6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(1,197,649)</w:t>
            </w:r>
          </w:p>
        </w:tc>
        <w:tc>
          <w:tcPr>
            <w:tcW w:w="700" w:type="dxa"/>
            <w:vAlign w:val="bottom"/>
            <w:gridSpan w:val="5"/>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(3,414,713)</w:t>
            </w:r>
          </w:p>
        </w:tc>
        <w:tc>
          <w:tcPr>
            <w:tcW w:w="60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14,855,579</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5"/>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(5,490,895)</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9,364,684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31, 2022</w:t>
            </w:r>
          </w:p>
        </w:tc>
        <w:tc>
          <w:tcPr>
            <w:tcW w:w="40" w:type="dxa"/>
            <w:vAlign w:val="bottom"/>
            <w:shd w:val="clear" w:color="auto" w:fill="CCEEFF"/>
          </w:tcPr>
          <w:p>
            <w:pPr>
              <w:spacing w:after="0"/>
              <w:rPr>
                <w:sz w:val="10"/>
                <w:szCs w:val="10"/>
                <w:color w:val="auto"/>
              </w:rPr>
            </w:pPr>
          </w:p>
        </w:tc>
        <w:tc>
          <w:tcPr>
            <w:tcW w:w="440" w:type="dxa"/>
            <w:vAlign w:val="bottom"/>
            <w:gridSpan w:val="3"/>
            <w:vMerge w:val="continue"/>
            <w:shd w:val="clear" w:color="auto" w:fill="CCEEFF"/>
          </w:tcPr>
          <w:p>
            <w:pPr>
              <w:spacing w:after="0"/>
              <w:rPr>
                <w:sz w:val="10"/>
                <w:szCs w:val="10"/>
                <w:color w:val="auto"/>
              </w:rPr>
            </w:pPr>
          </w:p>
        </w:tc>
        <w:tc>
          <w:tcPr>
            <w:tcW w:w="12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gridSpan w:val="2"/>
            <w:vMerge w:val="continue"/>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gridSpan w:val="6"/>
            <w:vMerge w:val="continue"/>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gridSpan w:val="3"/>
            <w:vMerge w:val="continue"/>
            <w:shd w:val="clear" w:color="auto" w:fill="CCEEFF"/>
          </w:tcPr>
          <w:p>
            <w:pPr>
              <w:spacing w:after="0"/>
              <w:rPr>
                <w:sz w:val="10"/>
                <w:szCs w:val="10"/>
                <w:color w:val="auto"/>
              </w:rPr>
            </w:pPr>
          </w:p>
        </w:tc>
        <w:tc>
          <w:tcPr>
            <w:tcW w:w="120" w:type="dxa"/>
            <w:vAlign w:val="bottom"/>
            <w:gridSpan w:val="2"/>
            <w:vMerge w:val="continue"/>
            <w:shd w:val="clear" w:color="auto" w:fill="CCEEFF"/>
          </w:tcPr>
          <w:p>
            <w:pPr>
              <w:spacing w:after="0"/>
              <w:rPr>
                <w:sz w:val="10"/>
                <w:szCs w:val="10"/>
                <w:color w:val="auto"/>
              </w:rPr>
            </w:pPr>
          </w:p>
        </w:tc>
        <w:tc>
          <w:tcPr>
            <w:tcW w:w="800" w:type="dxa"/>
            <w:vAlign w:val="bottom"/>
            <w:gridSpan w:val="5"/>
            <w:vMerge w:val="continue"/>
            <w:shd w:val="clear" w:color="auto" w:fill="CCEEFF"/>
          </w:tcPr>
          <w:p>
            <w:pPr>
              <w:spacing w:after="0"/>
              <w:rPr>
                <w:sz w:val="10"/>
                <w:szCs w:val="10"/>
                <w:color w:val="auto"/>
              </w:rPr>
            </w:pPr>
          </w:p>
        </w:tc>
        <w:tc>
          <w:tcPr>
            <w:tcW w:w="80" w:type="dxa"/>
            <w:vAlign w:val="bottom"/>
            <w:gridSpan w:val="2"/>
            <w:vMerge w:val="continue"/>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160" w:type="dxa"/>
            <w:vAlign w:val="bottom"/>
            <w:gridSpan w:val="4"/>
            <w:vMerge w:val="continue"/>
            <w:shd w:val="clear" w:color="auto" w:fill="CCEEFF"/>
          </w:tcPr>
          <w:p>
            <w:pPr>
              <w:spacing w:after="0"/>
              <w:rPr>
                <w:sz w:val="10"/>
                <w:szCs w:val="10"/>
                <w:color w:val="auto"/>
              </w:rPr>
            </w:pPr>
          </w:p>
        </w:tc>
        <w:tc>
          <w:tcPr>
            <w:tcW w:w="680" w:type="dxa"/>
            <w:vAlign w:val="bottom"/>
            <w:gridSpan w:val="5"/>
            <w:vMerge w:val="continue"/>
            <w:shd w:val="clear" w:color="auto" w:fill="CCEEFF"/>
          </w:tcPr>
          <w:p>
            <w:pPr>
              <w:spacing w:after="0"/>
              <w:rPr>
                <w:sz w:val="10"/>
                <w:szCs w:val="10"/>
                <w:color w:val="auto"/>
              </w:rPr>
            </w:pPr>
          </w:p>
        </w:tc>
        <w:tc>
          <w:tcPr>
            <w:tcW w:w="600" w:type="dxa"/>
            <w:vAlign w:val="bottom"/>
            <w:gridSpan w:val="4"/>
            <w:vMerge w:val="continue"/>
            <w:shd w:val="clear" w:color="auto" w:fill="CCEEFF"/>
          </w:tcPr>
          <w:p>
            <w:pPr>
              <w:spacing w:after="0"/>
              <w:rPr>
                <w:sz w:val="10"/>
                <w:szCs w:val="10"/>
                <w:color w:val="auto"/>
              </w:rPr>
            </w:pPr>
          </w:p>
        </w:tc>
        <w:tc>
          <w:tcPr>
            <w:tcW w:w="700" w:type="dxa"/>
            <w:vAlign w:val="bottom"/>
            <w:gridSpan w:val="5"/>
            <w:vMerge w:val="continue"/>
            <w:shd w:val="clear" w:color="auto" w:fill="CCEEFF"/>
          </w:tcPr>
          <w:p>
            <w:pPr>
              <w:spacing w:after="0"/>
              <w:rPr>
                <w:sz w:val="10"/>
                <w:szCs w:val="10"/>
                <w:color w:val="auto"/>
              </w:rPr>
            </w:pPr>
          </w:p>
        </w:tc>
        <w:tc>
          <w:tcPr>
            <w:tcW w:w="600" w:type="dxa"/>
            <w:vAlign w:val="bottom"/>
            <w:gridSpan w:val="4"/>
            <w:vMerge w:val="continue"/>
            <w:shd w:val="clear" w:color="auto" w:fill="CCEEFF"/>
          </w:tcPr>
          <w:p>
            <w:pPr>
              <w:spacing w:after="0"/>
              <w:rPr>
                <w:sz w:val="10"/>
                <w:szCs w:val="10"/>
                <w:color w:val="auto"/>
              </w:rPr>
            </w:pPr>
          </w:p>
        </w:tc>
        <w:tc>
          <w:tcPr>
            <w:tcW w:w="100" w:type="dxa"/>
            <w:vAlign w:val="bottom"/>
            <w:gridSpan w:val="2"/>
            <w:vMerge w:val="continue"/>
            <w:shd w:val="clear" w:color="auto" w:fill="CCEEFF"/>
          </w:tcPr>
          <w:p>
            <w:pPr>
              <w:spacing w:after="0"/>
              <w:rPr>
                <w:sz w:val="10"/>
                <w:szCs w:val="10"/>
                <w:color w:val="auto"/>
              </w:rPr>
            </w:pPr>
          </w:p>
        </w:tc>
        <w:tc>
          <w:tcPr>
            <w:tcW w:w="860" w:type="dxa"/>
            <w:vAlign w:val="bottom"/>
            <w:gridSpan w:val="5"/>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540" w:type="dxa"/>
            <w:vAlign w:val="bottom"/>
            <w:gridSpan w:val="4"/>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188"/>
        </w:trPr>
        <w:tc>
          <w:tcPr>
            <w:tcW w:w="242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Class A</w:t>
            </w:r>
          </w:p>
        </w:tc>
        <w:tc>
          <w:tcPr>
            <w:tcW w:w="1400" w:type="dxa"/>
            <w:vAlign w:val="bottom"/>
            <w:gridSpan w:val="12"/>
          </w:tcPr>
          <w:p>
            <w:pPr>
              <w:jc w:val="center"/>
              <w:ind w:right="140"/>
              <w:spacing w:after="0"/>
              <w:rPr>
                <w:sz w:val="20"/>
                <w:szCs w:val="20"/>
                <w:color w:val="auto"/>
              </w:rPr>
            </w:pPr>
            <w:r>
              <w:rPr>
                <w:rFonts w:ascii="Times New Roman" w:cs="Times New Roman" w:eastAsia="Times New Roman" w:hAnsi="Times New Roman"/>
                <w:sz w:val="16"/>
                <w:szCs w:val="16"/>
                <w:color w:val="auto"/>
                <w:w w:val="97"/>
              </w:rPr>
              <w:t>Class B</w:t>
            </w:r>
          </w:p>
        </w:tc>
        <w:tc>
          <w:tcPr>
            <w:tcW w:w="1180" w:type="dxa"/>
            <w:vAlign w:val="bottom"/>
            <w:gridSpan w:val="10"/>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4780" w:type="dxa"/>
            <w:vAlign w:val="bottom"/>
            <w:gridSpan w:val="28"/>
          </w:tcPr>
          <w:p>
            <w:pP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560" w:type="dxa"/>
            <w:vAlign w:val="bottom"/>
            <w:gridSpan w:val="12"/>
          </w:tcPr>
          <w:p>
            <w:pPr>
              <w:jc w:val="center"/>
              <w:ind w:right="1280"/>
              <w:spacing w:after="0"/>
              <w:rPr>
                <w:sz w:val="20"/>
                <w:szCs w:val="20"/>
                <w:color w:val="auto"/>
              </w:rPr>
            </w:pPr>
            <w:r>
              <w:rPr>
                <w:rFonts w:ascii="Times New Roman" w:cs="Times New Roman" w:eastAsia="Times New Roman" w:hAnsi="Times New Roman"/>
                <w:sz w:val="16"/>
                <w:szCs w:val="16"/>
                <w:b w:val="1"/>
                <w:bCs w:val="1"/>
                <w:color w:val="auto"/>
                <w:w w:val="98"/>
              </w:rPr>
              <w:t>Non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13"/>
          </w:tcPr>
          <w:p>
            <w:pPr>
              <w:jc w:val="center"/>
              <w:ind w:right="80"/>
              <w:spacing w:after="0"/>
              <w:rPr>
                <w:sz w:val="20"/>
                <w:szCs w:val="20"/>
                <w:color w:val="auto"/>
              </w:rPr>
            </w:pPr>
            <w:r>
              <w:rPr>
                <w:rFonts w:ascii="Times New Roman" w:cs="Times New Roman" w:eastAsia="Times New Roman" w:hAnsi="Times New Roman"/>
                <w:sz w:val="16"/>
                <w:szCs w:val="16"/>
                <w:color w:val="auto"/>
                <w:w w:val="97"/>
              </w:rPr>
              <w:t>Common Stock</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9"/>
          </w:tcPr>
          <w:p>
            <w:pPr>
              <w:jc w:val="center"/>
              <w:ind w:left="21"/>
              <w:spacing w:after="0"/>
              <w:rPr>
                <w:sz w:val="20"/>
                <w:szCs w:val="20"/>
                <w:color w:val="auto"/>
              </w:rPr>
            </w:pPr>
            <w:r>
              <w:rPr>
                <w:rFonts w:ascii="Times New Roman" w:cs="Times New Roman" w:eastAsia="Times New Roman" w:hAnsi="Times New Roman"/>
                <w:sz w:val="16"/>
                <w:szCs w:val="16"/>
                <w:color w:val="auto"/>
                <w:w w:val="97"/>
              </w:rPr>
              <w:t>Common Stock</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1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9"/>
                <w:szCs w:val="19"/>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4"/>
              </w:rPr>
              <w:t>Accumulated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8"/>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4"/>
              </w:rPr>
              <w:t>Treasury Stock</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Snail, Inc.</w:t>
            </w:r>
          </w:p>
        </w:tc>
        <w:tc>
          <w:tcPr>
            <w:tcW w:w="82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controlling</w:t>
            </w:r>
          </w:p>
        </w:tc>
        <w:tc>
          <w:tcPr>
            <w:tcW w:w="40" w:type="dxa"/>
            <w:vAlign w:val="bottom"/>
          </w:tcPr>
          <w:p>
            <w:pPr>
              <w:spacing w:after="0"/>
              <w:rPr>
                <w:sz w:val="19"/>
                <w:szCs w:val="19"/>
                <w:color w:val="auto"/>
              </w:rPr>
            </w:pPr>
          </w:p>
        </w:tc>
        <w:tc>
          <w:tcPr>
            <w:tcW w:w="940" w:type="dxa"/>
            <w:vAlign w:val="bottom"/>
            <w:gridSpan w:val="7"/>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top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2"/>
              </w:rPr>
              <w:t>Amount</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w w:val="92"/>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40" w:type="dxa"/>
            <w:vAlign w:val="bottom"/>
            <w:tcBorders>
              <w:top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82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interests</w:t>
            </w:r>
          </w:p>
        </w:tc>
        <w:tc>
          <w:tcPr>
            <w:tcW w:w="40" w:type="dxa"/>
            <w:vAlign w:val="bottom"/>
          </w:tcPr>
          <w:p>
            <w:pPr>
              <w:spacing w:after="0"/>
              <w:rPr>
                <w:sz w:val="16"/>
                <w:szCs w:val="16"/>
                <w:color w:val="auto"/>
              </w:rPr>
            </w:pPr>
          </w:p>
        </w:tc>
        <w:tc>
          <w:tcPr>
            <w:tcW w:w="940" w:type="dxa"/>
            <w:vAlign w:val="bottom"/>
            <w:gridSpan w:val="7"/>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gridSpan w:val="3"/>
          </w:tcPr>
          <w:p>
            <w:pPr>
              <w:spacing w:after="0"/>
              <w:rPr>
                <w:sz w:val="16"/>
                <w:szCs w:val="16"/>
                <w:color w:val="auto"/>
              </w:rPr>
            </w:pPr>
          </w:p>
        </w:tc>
        <w:tc>
          <w:tcPr>
            <w:tcW w:w="680" w:type="dxa"/>
            <w:vAlign w:val="bottom"/>
            <w:tcBorders>
              <w:top w:val="single" w:sz="8" w:color="auto"/>
            </w:tcBorders>
            <w:gridSpan w:val="5"/>
          </w:tcPr>
          <w:p>
            <w:pPr>
              <w:spacing w:after="0"/>
              <w:rPr>
                <w:sz w:val="16"/>
                <w:szCs w:val="16"/>
                <w:color w:val="auto"/>
              </w:rPr>
            </w:pPr>
          </w:p>
        </w:tc>
        <w:tc>
          <w:tcPr>
            <w:tcW w:w="100" w:type="dxa"/>
            <w:vAlign w:val="bottom"/>
            <w:gridSpan w:val="3"/>
          </w:tcPr>
          <w:p>
            <w:pPr>
              <w:spacing w:after="0"/>
              <w:rPr>
                <w:sz w:val="16"/>
                <w:szCs w:val="16"/>
                <w:color w:val="auto"/>
              </w:rPr>
            </w:pPr>
          </w:p>
        </w:tc>
        <w:tc>
          <w:tcPr>
            <w:tcW w:w="540" w:type="dxa"/>
            <w:vAlign w:val="bottom"/>
            <w:tcBorders>
              <w:top w:val="single" w:sz="8" w:color="auto"/>
            </w:tcBorders>
            <w:gridSpan w:val="3"/>
          </w:tcPr>
          <w:p>
            <w:pPr>
              <w:spacing w:after="0"/>
              <w:rPr>
                <w:sz w:val="16"/>
                <w:szCs w:val="16"/>
                <w:color w:val="auto"/>
              </w:rPr>
            </w:pPr>
          </w:p>
        </w:tc>
        <w:tc>
          <w:tcPr>
            <w:tcW w:w="100" w:type="dxa"/>
            <w:vAlign w:val="bottom"/>
            <w:gridSpan w:val="2"/>
          </w:tcPr>
          <w:p>
            <w:pPr>
              <w:spacing w:after="0"/>
              <w:rPr>
                <w:sz w:val="16"/>
                <w:szCs w:val="16"/>
                <w:color w:val="auto"/>
              </w:rPr>
            </w:pPr>
          </w:p>
        </w:tc>
        <w:tc>
          <w:tcPr>
            <w:tcW w:w="740" w:type="dxa"/>
            <w:vAlign w:val="bottom"/>
            <w:tcBorders>
              <w:top w:val="single" w:sz="8" w:color="auto"/>
            </w:tcBorders>
            <w:gridSpan w:val="6"/>
          </w:tcPr>
          <w:p>
            <w:pPr>
              <w:spacing w:after="0"/>
              <w:rPr>
                <w:sz w:val="16"/>
                <w:szCs w:val="16"/>
                <w:color w:val="auto"/>
              </w:rPr>
            </w:pPr>
          </w:p>
        </w:tc>
        <w:tc>
          <w:tcPr>
            <w:tcW w:w="100" w:type="dxa"/>
            <w:vAlign w:val="bottom"/>
            <w:gridSpan w:val="2"/>
          </w:tcPr>
          <w:p>
            <w:pPr>
              <w:spacing w:after="0"/>
              <w:rPr>
                <w:sz w:val="16"/>
                <w:szCs w:val="16"/>
                <w:color w:val="auto"/>
              </w:rPr>
            </w:pPr>
          </w:p>
        </w:tc>
        <w:tc>
          <w:tcPr>
            <w:tcW w:w="540" w:type="dxa"/>
            <w:vAlign w:val="bottom"/>
            <w:tcBorders>
              <w:top w:val="single" w:sz="8" w:color="auto"/>
            </w:tcBorders>
            <w:gridSpan w:val="4"/>
          </w:tcPr>
          <w:p>
            <w:pPr>
              <w:spacing w:after="0"/>
              <w:rPr>
                <w:sz w:val="16"/>
                <w:szCs w:val="16"/>
                <w:color w:val="auto"/>
              </w:rPr>
            </w:pPr>
          </w:p>
        </w:tc>
        <w:tc>
          <w:tcPr>
            <w:tcW w:w="100" w:type="dxa"/>
            <w:vAlign w:val="bottom"/>
            <w:gridSpan w:val="2"/>
          </w:tcPr>
          <w:p>
            <w:pPr>
              <w:spacing w:after="0"/>
              <w:rPr>
                <w:sz w:val="16"/>
                <w:szCs w:val="16"/>
                <w:color w:val="auto"/>
              </w:rPr>
            </w:pPr>
          </w:p>
        </w:tc>
        <w:tc>
          <w:tcPr>
            <w:tcW w:w="780" w:type="dxa"/>
            <w:vAlign w:val="bottom"/>
            <w:tcBorders>
              <w:top w:val="single" w:sz="8" w:color="auto"/>
            </w:tcBorders>
            <w:gridSpan w:val="5"/>
          </w:tcPr>
          <w:p>
            <w:pPr>
              <w:spacing w:after="0"/>
              <w:rPr>
                <w:sz w:val="16"/>
                <w:szCs w:val="16"/>
                <w:color w:val="auto"/>
              </w:rPr>
            </w:pPr>
          </w:p>
        </w:tc>
        <w:tc>
          <w:tcPr>
            <w:tcW w:w="100" w:type="dxa"/>
            <w:vAlign w:val="bottom"/>
            <w:gridSpan w:val="2"/>
          </w:tcPr>
          <w:p>
            <w:pPr>
              <w:spacing w:after="0"/>
              <w:rPr>
                <w:sz w:val="16"/>
                <w:szCs w:val="16"/>
                <w:color w:val="auto"/>
              </w:rPr>
            </w:pPr>
          </w:p>
        </w:tc>
        <w:tc>
          <w:tcPr>
            <w:tcW w:w="1040" w:type="dxa"/>
            <w:vAlign w:val="bottom"/>
            <w:tcBorders>
              <w:top w:val="single" w:sz="8" w:color="auto"/>
            </w:tcBorders>
            <w:gridSpan w:val="5"/>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4"/>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gridSpan w:val="4"/>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gridSpan w:val="7"/>
          </w:tcPr>
          <w:p>
            <w:pPr>
              <w:spacing w:after="0"/>
              <w:rPr>
                <w:sz w:val="16"/>
                <w:szCs w:val="16"/>
                <w:color w:val="auto"/>
              </w:rPr>
            </w:pPr>
          </w:p>
        </w:tc>
        <w:tc>
          <w:tcPr>
            <w:tcW w:w="100" w:type="dxa"/>
            <w:vAlign w:val="bottom"/>
            <w:gridSpan w:val="2"/>
          </w:tcPr>
          <w:p>
            <w:pPr>
              <w:spacing w:after="0"/>
              <w:rPr>
                <w:sz w:val="16"/>
                <w:szCs w:val="16"/>
                <w:color w:val="auto"/>
              </w:rPr>
            </w:pPr>
          </w:p>
        </w:tc>
        <w:tc>
          <w:tcPr>
            <w:tcW w:w="800" w:type="dxa"/>
            <w:vAlign w:val="bottom"/>
            <w:tcBorders>
              <w:top w:val="single" w:sz="8" w:color="auto"/>
            </w:tcBorders>
            <w:gridSpan w:val="3"/>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gridSpan w:val="5"/>
          </w:tcPr>
          <w:p>
            <w:pPr>
              <w:spacing w:after="0"/>
              <w:rPr>
                <w:sz w:val="16"/>
                <w:szCs w:val="16"/>
                <w:color w:val="auto"/>
              </w:rPr>
            </w:pPr>
          </w:p>
        </w:tc>
        <w:tc>
          <w:tcPr>
            <w:tcW w:w="100" w:type="dxa"/>
            <w:vAlign w:val="bottom"/>
            <w:gridSpan w:val="2"/>
          </w:tcPr>
          <w:p>
            <w:pPr>
              <w:spacing w:after="0"/>
              <w:rPr>
                <w:sz w:val="16"/>
                <w:szCs w:val="16"/>
                <w:color w:val="auto"/>
              </w:rPr>
            </w:pPr>
          </w:p>
        </w:tc>
        <w:tc>
          <w:tcPr>
            <w:tcW w:w="780" w:type="dxa"/>
            <w:vAlign w:val="bottom"/>
            <w:tcBorders>
              <w:top w:val="single" w:sz="8" w:color="auto"/>
            </w:tcBorders>
            <w:gridSpan w:val="4"/>
          </w:tcPr>
          <w:p>
            <w:pPr>
              <w:spacing w:after="0"/>
              <w:rPr>
                <w:sz w:val="16"/>
                <w:szCs w:val="16"/>
                <w:color w:val="auto"/>
              </w:rPr>
            </w:pPr>
          </w:p>
        </w:tc>
        <w:tc>
          <w:tcPr>
            <w:tcW w:w="1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1320" w:type="dxa"/>
            <w:vAlign w:val="bottom"/>
            <w:gridSpan w:val="80"/>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w w:val="94"/>
              </w:rPr>
              <w:t>Balance at</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31, 2022</w:t>
            </w:r>
          </w:p>
        </w:tc>
        <w:tc>
          <w:tcPr>
            <w:tcW w:w="40" w:type="dxa"/>
            <w:vAlign w:val="bottom"/>
            <w:shd w:val="clear" w:color="auto" w:fill="CCEEFF"/>
          </w:tcPr>
          <w:p>
            <w:pPr>
              <w:spacing w:after="0"/>
              <w:rPr>
                <w:sz w:val="17"/>
                <w:szCs w:val="17"/>
                <w:color w:val="auto"/>
              </w:rPr>
            </w:pP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9,251,420</w:t>
            </w:r>
          </w:p>
        </w:tc>
        <w:tc>
          <w:tcPr>
            <w:tcW w:w="40" w:type="dxa"/>
            <w:vAlign w:val="bottom"/>
            <w:shd w:val="clear" w:color="auto" w:fill="CCEEFF"/>
          </w:tcPr>
          <w:p>
            <w:pPr>
              <w:spacing w:after="0"/>
              <w:rPr>
                <w:sz w:val="17"/>
                <w:szCs w:val="17"/>
                <w:color w:val="auto"/>
              </w:rPr>
            </w:pPr>
          </w:p>
        </w:tc>
        <w:tc>
          <w:tcPr>
            <w:tcW w:w="1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925</w:t>
            </w:r>
          </w:p>
        </w:tc>
        <w:tc>
          <w:tcPr>
            <w:tcW w:w="60" w:type="dxa"/>
            <w:vAlign w:val="bottom"/>
            <w:shd w:val="clear" w:color="auto" w:fill="CCEEFF"/>
          </w:tcPr>
          <w:p>
            <w:pPr>
              <w:spacing w:after="0"/>
              <w:rPr>
                <w:sz w:val="17"/>
                <w:szCs w:val="17"/>
                <w:color w:val="auto"/>
              </w:rPr>
            </w:pPr>
          </w:p>
        </w:tc>
        <w:tc>
          <w:tcPr>
            <w:tcW w:w="8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28,748,580</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2,875</w:t>
            </w:r>
          </w:p>
        </w:tc>
        <w:tc>
          <w:tcPr>
            <w:tcW w:w="8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$23,436,942</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(307,200)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(4,863,250)</w:t>
            </w:r>
          </w:p>
        </w:tc>
        <w:tc>
          <w:tcPr>
            <w:tcW w:w="1660" w:type="dxa"/>
            <w:vAlign w:val="bottom"/>
            <w:gridSpan w:val="1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(1,197,649) $(3,414,713)</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$14,855,579</w:t>
            </w: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$(5,490,895)</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$ 9,364,684</w:t>
            </w: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320" w:type="dxa"/>
            <w:vAlign w:val="bottom"/>
            <w:gridSpan w:val="8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Return of</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color w:val="auto"/>
              </w:rPr>
              <w:t>dividend</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color w:val="auto"/>
              </w:rPr>
              <w:t>distribution</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color w:val="auto"/>
              </w:rPr>
              <w:t>tax</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color w:val="auto"/>
              </w:rPr>
              <w:t>withholding</w:t>
            </w:r>
          </w:p>
        </w:tc>
        <w:tc>
          <w:tcPr>
            <w:tcW w:w="0" w:type="dxa"/>
            <w:vAlign w:val="bottom"/>
          </w:tcPr>
          <w:p>
            <w:pPr>
              <w:spacing w:after="0"/>
              <w:rPr>
                <w:sz w:val="1"/>
                <w:szCs w:val="1"/>
                <w:color w:val="auto"/>
              </w:rPr>
            </w:pPr>
          </w:p>
        </w:tc>
      </w:tr>
      <w:tr>
        <w:trPr>
          <w:trHeight w:val="205"/>
        </w:trPr>
        <w:tc>
          <w:tcPr>
            <w:tcW w:w="12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payment</w:t>
            </w:r>
          </w:p>
        </w:tc>
        <w:tc>
          <w:tcPr>
            <w:tcW w:w="54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8"/>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6"/>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12"/>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1,886,600</w:t>
            </w:r>
          </w:p>
        </w:tc>
        <w:tc>
          <w:tcPr>
            <w:tcW w:w="980" w:type="dxa"/>
            <w:vAlign w:val="bottom"/>
            <w:gridSpan w:val="5"/>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9"/>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9"/>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1,886,600</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8"/>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1,886,600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320" w:type="dxa"/>
            <w:vAlign w:val="bottom"/>
            <w:gridSpan w:val="8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Stock based</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color w:val="auto"/>
              </w:rPr>
              <w:t>related to</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color w:val="auto"/>
              </w:rPr>
              <w:t>restricted</w:t>
            </w:r>
          </w:p>
        </w:tc>
        <w:tc>
          <w:tcPr>
            <w:tcW w:w="0" w:type="dxa"/>
            <w:vAlign w:val="bottom"/>
          </w:tcPr>
          <w:p>
            <w:pPr>
              <w:spacing w:after="0"/>
              <w:rPr>
                <w:sz w:val="1"/>
                <w:szCs w:val="1"/>
                <w:color w:val="auto"/>
              </w:rPr>
            </w:pPr>
          </w:p>
        </w:tc>
      </w:tr>
      <w:tr>
        <w:trPr>
          <w:trHeight w:val="205"/>
        </w:trPr>
        <w:tc>
          <w:tcPr>
            <w:tcW w:w="12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stock units</w:t>
            </w:r>
          </w:p>
        </w:tc>
        <w:tc>
          <w:tcPr>
            <w:tcW w:w="54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8"/>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6"/>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9"/>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848,035</w:t>
            </w:r>
          </w:p>
        </w:tc>
        <w:tc>
          <w:tcPr>
            <w:tcW w:w="980" w:type="dxa"/>
            <w:vAlign w:val="bottom"/>
            <w:gridSpan w:val="5"/>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9"/>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9"/>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848,035</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8"/>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848,035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320" w:type="dxa"/>
            <w:vAlign w:val="bottom"/>
            <w:gridSpan w:val="8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Common</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color w:val="auto"/>
              </w:rPr>
              <w:t>stock issued</w:t>
            </w:r>
          </w:p>
        </w:tc>
        <w:tc>
          <w:tcPr>
            <w:tcW w:w="0" w:type="dxa"/>
            <w:vAlign w:val="bottom"/>
          </w:tcPr>
          <w:p>
            <w:pPr>
              <w:spacing w:after="0"/>
              <w:rPr>
                <w:sz w:val="1"/>
                <w:szCs w:val="1"/>
                <w:color w:val="auto"/>
              </w:rPr>
            </w:pPr>
          </w:p>
        </w:tc>
      </w:tr>
      <w:tr>
        <w:trPr>
          <w:trHeight w:val="205"/>
        </w:trPr>
        <w:tc>
          <w:tcPr>
            <w:tcW w:w="11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for service</w:t>
            </w:r>
          </w:p>
        </w:tc>
        <w:tc>
          <w:tcPr>
            <w:tcW w:w="660" w:type="dxa"/>
            <w:vAlign w:val="bottom"/>
            <w:gridSpan w:val="8"/>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5"/>
              </w:rPr>
              <w:t>24,000</w:t>
            </w:r>
          </w:p>
        </w:tc>
        <w:tc>
          <w:tcPr>
            <w:tcW w:w="1160" w:type="dxa"/>
            <w:vAlign w:val="bottom"/>
            <w:gridSpan w:val="8"/>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2</w:t>
            </w:r>
          </w:p>
        </w:tc>
        <w:tc>
          <w:tcPr>
            <w:tcW w:w="580" w:type="dxa"/>
            <w:vAlign w:val="bottom"/>
            <w:gridSpan w:val="6"/>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7"/>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7"/>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(2)</w:t>
            </w:r>
          </w:p>
        </w:tc>
        <w:tc>
          <w:tcPr>
            <w:tcW w:w="980" w:type="dxa"/>
            <w:vAlign w:val="bottom"/>
            <w:gridSpan w:val="5"/>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9"/>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5"/>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6"/>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6"/>
            <w:shd w:val="clear" w:color="auto" w:fill="CCEEFF"/>
          </w:tcPr>
          <w:p>
            <w:pPr>
              <w:jc w:val="right"/>
              <w:ind w:right="437"/>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320" w:type="dxa"/>
            <w:vAlign w:val="bottom"/>
            <w:gridSpan w:val="8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w w:val="91"/>
              </w:rPr>
              <w:t>Repurchase</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color w:val="auto"/>
              </w:rPr>
              <w:t>of common</w:t>
            </w:r>
          </w:p>
        </w:tc>
        <w:tc>
          <w:tcPr>
            <w:tcW w:w="0" w:type="dxa"/>
            <w:vAlign w:val="bottom"/>
          </w:tcPr>
          <w:p>
            <w:pPr>
              <w:spacing w:after="0"/>
              <w:rPr>
                <w:sz w:val="1"/>
                <w:szCs w:val="1"/>
                <w:color w:val="auto"/>
              </w:rPr>
            </w:pPr>
          </w:p>
        </w:tc>
      </w:tr>
      <w:tr>
        <w:trPr>
          <w:trHeight w:val="205"/>
        </w:trPr>
        <w:tc>
          <w:tcPr>
            <w:tcW w:w="12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stock</w:t>
            </w:r>
          </w:p>
        </w:tc>
        <w:tc>
          <w:tcPr>
            <w:tcW w:w="54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8"/>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6"/>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7"/>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7"/>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7"/>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(152,626)</w:t>
            </w:r>
          </w:p>
        </w:tc>
        <w:tc>
          <w:tcPr>
            <w:tcW w:w="7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(257,093)</w:t>
            </w:r>
          </w:p>
        </w:tc>
        <w:tc>
          <w:tcPr>
            <w:tcW w:w="1280" w:type="dxa"/>
            <w:vAlign w:val="bottom"/>
            <w:gridSpan w:val="9"/>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(257,093)</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8"/>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(257,093)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320" w:type="dxa"/>
            <w:vAlign w:val="bottom"/>
            <w:gridSpan w:val="8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Foreign</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color w:val="auto"/>
              </w:rPr>
              <w:t>currency</w:t>
            </w:r>
          </w:p>
        </w:tc>
        <w:tc>
          <w:tcPr>
            <w:tcW w:w="0" w:type="dxa"/>
            <w:vAlign w:val="bottom"/>
          </w:tcPr>
          <w:p>
            <w:pPr>
              <w:spacing w:after="0"/>
              <w:rPr>
                <w:sz w:val="1"/>
                <w:szCs w:val="1"/>
                <w:color w:val="auto"/>
              </w:rPr>
            </w:pPr>
          </w:p>
        </w:tc>
      </w:tr>
      <w:tr>
        <w:trPr>
          <w:trHeight w:val="205"/>
        </w:trPr>
        <w:tc>
          <w:tcPr>
            <w:tcW w:w="12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translation</w:t>
            </w:r>
          </w:p>
        </w:tc>
        <w:tc>
          <w:tcPr>
            <w:tcW w:w="54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8"/>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6"/>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7"/>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7"/>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52,817</w:t>
            </w:r>
          </w:p>
        </w:tc>
        <w:tc>
          <w:tcPr>
            <w:tcW w:w="11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9"/>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9"/>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52,817</w:t>
            </w:r>
          </w:p>
        </w:tc>
        <w:tc>
          <w:tcPr>
            <w:tcW w:w="860" w:type="dxa"/>
            <w:vAlign w:val="bottom"/>
            <w:gridSpan w:val="5"/>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5"/>
              </w:rPr>
              <w:t>52,817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320" w:type="dxa"/>
            <w:vAlign w:val="bottom"/>
            <w:gridSpan w:val="80"/>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54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8"/>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6"/>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7"/>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7"/>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(9,086,075)</w:t>
            </w:r>
          </w:p>
        </w:tc>
        <w:tc>
          <w:tcPr>
            <w:tcW w:w="1280" w:type="dxa"/>
            <w:vAlign w:val="bottom"/>
            <w:gridSpan w:val="9"/>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9"/>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(9,086,075)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(8,349)</w:t>
            </w:r>
          </w:p>
        </w:tc>
        <w:tc>
          <w:tcPr>
            <w:tcW w:w="980" w:type="dxa"/>
            <w:vAlign w:val="bottom"/>
            <w:gridSpan w:val="8"/>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(9,094,424)</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gridSpan w:val="3"/>
          </w:tcPr>
          <w:p>
            <w:pPr>
              <w:spacing w:after="0"/>
              <w:rPr>
                <w:sz w:val="16"/>
                <w:szCs w:val="16"/>
                <w:color w:val="auto"/>
              </w:rPr>
            </w:pPr>
          </w:p>
        </w:tc>
        <w:tc>
          <w:tcPr>
            <w:tcW w:w="680" w:type="dxa"/>
            <w:vAlign w:val="bottom"/>
            <w:tcBorders>
              <w:top w:val="single" w:sz="8" w:color="auto"/>
            </w:tcBorders>
            <w:gridSpan w:val="5"/>
          </w:tcPr>
          <w:p>
            <w:pPr>
              <w:spacing w:after="0"/>
              <w:rPr>
                <w:sz w:val="16"/>
                <w:szCs w:val="16"/>
                <w:color w:val="auto"/>
              </w:rPr>
            </w:pPr>
          </w:p>
        </w:tc>
        <w:tc>
          <w:tcPr>
            <w:tcW w:w="100" w:type="dxa"/>
            <w:vAlign w:val="bottom"/>
            <w:tcBorders>
              <w:top w:val="single" w:sz="8" w:color="CCEEFF"/>
            </w:tcBorders>
            <w:gridSpan w:val="3"/>
          </w:tcPr>
          <w:p>
            <w:pPr>
              <w:spacing w:after="0"/>
              <w:rPr>
                <w:sz w:val="16"/>
                <w:szCs w:val="16"/>
                <w:color w:val="auto"/>
              </w:rPr>
            </w:pPr>
          </w:p>
        </w:tc>
        <w:tc>
          <w:tcPr>
            <w:tcW w:w="540" w:type="dxa"/>
            <w:vAlign w:val="bottom"/>
            <w:tcBorders>
              <w:top w:val="single" w:sz="8" w:color="auto"/>
            </w:tcBorders>
            <w:gridSpan w:val="3"/>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740" w:type="dxa"/>
            <w:vAlign w:val="bottom"/>
            <w:tcBorders>
              <w:top w:val="single" w:sz="8" w:color="auto"/>
            </w:tcBorders>
            <w:gridSpan w:val="6"/>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540" w:type="dxa"/>
            <w:vAlign w:val="bottom"/>
            <w:tcBorders>
              <w:top w:val="single" w:sz="8" w:color="auto"/>
            </w:tcBorders>
            <w:gridSpan w:val="4"/>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780" w:type="dxa"/>
            <w:vAlign w:val="bottom"/>
            <w:tcBorders>
              <w:top w:val="single" w:sz="8" w:color="auto"/>
            </w:tcBorders>
            <w:gridSpan w:val="5"/>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1040" w:type="dxa"/>
            <w:vAlign w:val="bottom"/>
            <w:tcBorders>
              <w:top w:val="single" w:sz="8" w:color="auto"/>
            </w:tcBorders>
            <w:gridSpan w:val="5"/>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gridSpan w:val="4"/>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gridSpan w:val="4"/>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gridSpan w:val="7"/>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800" w:type="dxa"/>
            <w:vAlign w:val="bottom"/>
            <w:tcBorders>
              <w:top w:val="single" w:sz="8" w:color="auto"/>
            </w:tcBorders>
            <w:gridSpan w:val="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gridSpan w:val="5"/>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780" w:type="dxa"/>
            <w:vAlign w:val="bottom"/>
            <w:tcBorders>
              <w:top w:val="single" w:sz="8" w:color="auto"/>
            </w:tcBorders>
            <w:gridSpan w:val="4"/>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1320" w:type="dxa"/>
            <w:vAlign w:val="bottom"/>
            <w:gridSpan w:val="80"/>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w w:val="94"/>
              </w:rPr>
              <w:t>Balance at</w:t>
            </w:r>
          </w:p>
        </w:tc>
        <w:tc>
          <w:tcPr>
            <w:tcW w:w="0" w:type="dxa"/>
            <w:vAlign w:val="bottom"/>
          </w:tcPr>
          <w:p>
            <w:pPr>
              <w:spacing w:after="0"/>
              <w:rPr>
                <w:sz w:val="1"/>
                <w:szCs w:val="1"/>
                <w:color w:val="auto"/>
              </w:rPr>
            </w:pPr>
          </w:p>
        </w:tc>
      </w:tr>
      <w:tr>
        <w:trPr>
          <w:trHeight w:val="188"/>
        </w:trPr>
        <w:tc>
          <w:tcPr>
            <w:tcW w:w="11340" w:type="dxa"/>
            <w:vAlign w:val="bottom"/>
            <w:gridSpan w:val="81"/>
          </w:tcPr>
          <w:p>
            <w:pPr>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40" w:type="dxa"/>
            <w:vAlign w:val="bottom"/>
            <w:shd w:val="clear" w:color="auto" w:fill="CCEEFF"/>
          </w:tcPr>
          <w:p>
            <w:pPr>
              <w:spacing w:after="0"/>
              <w:rPr>
                <w:sz w:val="19"/>
                <w:szCs w:val="19"/>
                <w:color w:val="auto"/>
              </w:rPr>
            </w:pP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9,275,420</w:t>
            </w:r>
          </w:p>
        </w:tc>
        <w:tc>
          <w:tcPr>
            <w:tcW w:w="40" w:type="dxa"/>
            <w:vAlign w:val="bottom"/>
            <w:shd w:val="clear" w:color="auto" w:fill="CCEEFF"/>
          </w:tcPr>
          <w:p>
            <w:pPr>
              <w:spacing w:after="0"/>
              <w:rPr>
                <w:sz w:val="19"/>
                <w:szCs w:val="19"/>
                <w:color w:val="auto"/>
              </w:rPr>
            </w:pPr>
          </w:p>
        </w:tc>
        <w:tc>
          <w:tcPr>
            <w:tcW w:w="1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927</w:t>
            </w:r>
          </w:p>
        </w:tc>
        <w:tc>
          <w:tcPr>
            <w:tcW w:w="60" w:type="dxa"/>
            <w:vAlign w:val="bottom"/>
            <w:shd w:val="clear" w:color="auto" w:fill="CCEEFF"/>
          </w:tcPr>
          <w:p>
            <w:pPr>
              <w:spacing w:after="0"/>
              <w:rPr>
                <w:sz w:val="19"/>
                <w:szCs w:val="19"/>
                <w:color w:val="auto"/>
              </w:rPr>
            </w:pPr>
          </w:p>
        </w:tc>
        <w:tc>
          <w:tcPr>
            <w:tcW w:w="8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28,748,580</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2,875</w:t>
            </w:r>
          </w:p>
        </w:tc>
        <w:tc>
          <w:tcPr>
            <w:tcW w:w="8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26,171,575</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(254,383) $</w:t>
            </w: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(13,949,325)</w:t>
            </w:r>
          </w:p>
        </w:tc>
        <w:tc>
          <w:tcPr>
            <w:tcW w:w="2600" w:type="dxa"/>
            <w:vAlign w:val="bottom"/>
            <w:gridSpan w:val="18"/>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xml:space="preserve">(1,350,275)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(3,671,806) $ 8,299,863</w:t>
            </w:r>
          </w:p>
        </w:tc>
        <w:tc>
          <w:tcPr>
            <w:tcW w:w="1640" w:type="dxa"/>
            <w:vAlign w:val="bottom"/>
            <w:gridSpan w:val="11"/>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(5,499,244) $ 2,800,619</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CCEEFF"/>
            </w:tcBorders>
            <w:gridSpan w:val="3"/>
          </w:tcPr>
          <w:p>
            <w:pPr>
              <w:spacing w:after="0" w:line="20" w:lineRule="exact"/>
              <w:rPr>
                <w:sz w:val="1"/>
                <w:szCs w:val="1"/>
                <w:color w:val="auto"/>
              </w:rPr>
            </w:pPr>
          </w:p>
        </w:tc>
        <w:tc>
          <w:tcPr>
            <w:tcW w:w="68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6"/>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7"/>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ectPr>
          <w:pgSz w:w="11900" w:h="16838" w:orient="portrait"/>
          <w:cols w:equalWidth="0" w:num="1">
            <w:col w:w="11340"/>
          </w:cols>
          <w:pgMar w:left="320" w:top="497" w:right="239" w:bottom="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20320</wp:posOffset>
            </wp:positionV>
            <wp:extent cx="715010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for the years ended December 31, 2023 and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380" w:type="dxa"/>
            <w:vAlign w:val="bottom"/>
            <w:gridSpan w:val="2"/>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(9,094,424)</w:t>
            </w:r>
          </w:p>
        </w:tc>
        <w:tc>
          <w:tcPr>
            <w:tcW w:w="4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994,178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 intangible assets - license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 intangible assets - license, related parties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1,384,058</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7,403,918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 intangible assets - other</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804</w:t>
            </w: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3,751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 loan origination fees and debt discounts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124,595</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26,514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 – convertible notes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306,664</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 property and equipment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432,306</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565,906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848,035</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223,250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paycheck protection program and economic injury disaster loan forgiveness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(174,436)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(gain) on disposal of fixed assets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427</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 from shareholder loan</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(580,878)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from restricted escrow deposit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losses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581,498</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taxes, net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(2,644,964)</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588,478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w w:val="96"/>
              </w:rPr>
              <w:t>(18,939,465)</w:t>
            </w: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5,486,716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 related party</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3,824,775</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(2,908,361)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 related party</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(8,245,966)</w:t>
            </w:r>
          </w:p>
        </w:tc>
        <w:tc>
          <w:tcPr>
            <w:tcW w:w="4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(2,437,500)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501,104</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(1,875,919)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(26,052)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2,992,856</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4,976,192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3,176,177</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(3,815,313)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659,647</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(1,039,927)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receivable - related party</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(2,000)</w:t>
            </w: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payable - related parties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(205,520)</w:t>
            </w:r>
          </w:p>
        </w:tc>
        <w:tc>
          <w:tcPr>
            <w:tcW w:w="4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(145,949)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24,765,261</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(10,729,488)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Borders>
              <w:top w:val="single" w:sz="8" w:color="CCEEFF"/>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20" w:type="dxa"/>
            <w:vAlign w:val="bottom"/>
            <w:tcBorders>
              <w:top w:val="single" w:sz="8" w:color="CCEEFF"/>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465,868</w:t>
            </w:r>
          </w:p>
        </w:tc>
        <w:tc>
          <w:tcPr>
            <w:tcW w:w="320" w:type="dxa"/>
            <w:vAlign w:val="bottom"/>
            <w:tcBorders>
              <w:top w:val="single" w:sz="8" w:color="CCEEFF"/>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(3,357,338</w:t>
            </w:r>
          </w:p>
        </w:tc>
        <w:tc>
          <w:tcPr>
            <w:tcW w:w="120" w:type="dxa"/>
            <w:vAlign w:val="bottom"/>
            <w:tcBorders>
              <w:top w:val="single" w:sz="8" w:color="CCEEFF"/>
              <w:bottom w:val="single" w:sz="8" w:color="CCEEFF"/>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on loan provided by related party</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on Pound Sand note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1,496,063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1,210,307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on promissory note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(79,897)</w:t>
            </w:r>
          </w:p>
        </w:tc>
        <w:tc>
          <w:tcPr>
            <w:tcW w:w="4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(70,961)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on notes payable</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(6,500,000)</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(4,166,667)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on revolving loan</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(3,000,000)</w:t>
            </w: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on notes payable</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on short-term note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10,000,000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convertible notes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847,500</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Refund of dividend withholding tax overpayment</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1,886,600</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paycheck protection program and economic injury disaster loan</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(90,198)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Refund of payments on paycheck protection program and economic injury disaster loan</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48,305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dividend declared and paid</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(257,093)</w:t>
            </w:r>
          </w:p>
        </w:tc>
        <w:tc>
          <w:tcPr>
            <w:tcW w:w="4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(3,414,713)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initial public offering, net of offering costs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11,791,705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Warrants issued to underwriters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193,927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capitalized offering costs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(1,247,567)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offering costs in accounts payable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(342,318)</w:t>
            </w: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Release of restricted escrow deposit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1,003,804</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Borders>
              <w:top w:val="single" w:sz="8" w:color="CCEEFF"/>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20" w:type="dxa"/>
            <w:vAlign w:val="bottom"/>
            <w:tcBorders>
              <w:top w:val="single" w:sz="8" w:color="CCEEFF"/>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(3,441,404</w:t>
            </w:r>
          </w:p>
        </w:tc>
        <w:tc>
          <w:tcPr>
            <w:tcW w:w="320" w:type="dxa"/>
            <w:vAlign w:val="bottom"/>
            <w:tcBorders>
              <w:top w:val="single" w:sz="8" w:color="CCEEFF"/>
              <w:bottom w:val="single" w:sz="8" w:color="CCEEFF"/>
            </w:tcBorders>
          </w:tcPr>
          <w:p>
            <w:pPr>
              <w:jc w:val="right"/>
              <w:ind w:right="241"/>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4,843,831</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currency translation on cash and cash equivalents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51,670</w:t>
            </w:r>
          </w:p>
        </w:tc>
        <w:tc>
          <w:tcPr>
            <w:tcW w:w="44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(12,730)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 and restricted cash and cash equivalents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(2,923,866)</w:t>
            </w:r>
          </w:p>
        </w:tc>
        <w:tc>
          <w:tcPr>
            <w:tcW w:w="440" w:type="dxa"/>
            <w:vAlign w:val="bottom"/>
          </w:tcPr>
          <w:p>
            <w:pPr>
              <w:spacing w:after="0"/>
              <w:rPr>
                <w:sz w:val="16"/>
                <w:szCs w:val="16"/>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2,684,070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 - beginning of the year</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19,238,185</w:t>
            </w:r>
          </w:p>
        </w:tc>
        <w:tc>
          <w:tcPr>
            <w:tcW w:w="440" w:type="dxa"/>
            <w:vAlign w:val="bottom"/>
          </w:tcPr>
          <w:p>
            <w:pPr>
              <w:spacing w:after="0"/>
              <w:rPr>
                <w:sz w:val="17"/>
                <w:szCs w:val="17"/>
                <w:color w:val="auto"/>
              </w:rPr>
            </w:pP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16,554,115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7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and cash equivalents – end of the year</w:t>
            </w:r>
          </w:p>
        </w:tc>
        <w:tc>
          <w:tcPr>
            <w:tcW w:w="1380" w:type="dxa"/>
            <w:vAlign w:val="bottom"/>
            <w:gridSpan w:val="2"/>
          </w:tcPr>
          <w:p>
            <w:pPr>
              <w:jc w:val="right"/>
              <w:ind w:right="1002"/>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16,314,319</w:t>
            </w:r>
          </w:p>
        </w:tc>
        <w:tc>
          <w:tcPr>
            <w:tcW w:w="44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19,238,185</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67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paid during the year for:</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w:t>
            </w:r>
          </w:p>
        </w:tc>
        <w:tc>
          <w:tcPr>
            <w:tcW w:w="1380" w:type="dxa"/>
            <w:vAlign w:val="bottom"/>
            <w:gridSpan w:val="2"/>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934,523</w:t>
            </w:r>
          </w:p>
        </w:tc>
        <w:tc>
          <w:tcPr>
            <w:tcW w:w="320" w:type="dxa"/>
            <w:vAlign w:val="bottom"/>
          </w:tcPr>
          <w:p>
            <w:pPr>
              <w:spacing w:after="0"/>
              <w:rPr>
                <w:sz w:val="21"/>
                <w:szCs w:val="21"/>
                <w:color w:val="auto"/>
              </w:rPr>
            </w:pPr>
          </w:p>
        </w:tc>
        <w:tc>
          <w:tcPr>
            <w:tcW w:w="4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788,063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40" w:type="dxa"/>
            <w:vAlign w:val="bottom"/>
            <w:tcBorders>
              <w:top w:val="single" w:sz="8" w:color="CCEEFF"/>
              <w:bottom w:val="single" w:sz="8" w:color="CCEEFF"/>
            </w:tcBorders>
            <w:shd w:val="clear" w:color="auto" w:fill="CCEEFF"/>
          </w:tcPr>
          <w:p>
            <w:pPr>
              <w:ind w:left="280"/>
              <w:spacing w:after="0" w:line="164" w:lineRule="exact"/>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ind w:right="100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248,388</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8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888,303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Noncash transactions during the year for:</w:t>
            </w: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 and interest payable - related parties</w:t>
            </w:r>
          </w:p>
        </w:tc>
        <w:tc>
          <w:tcPr>
            <w:tcW w:w="1380" w:type="dxa"/>
            <w:vAlign w:val="bottom"/>
            <w:gridSpan w:val="2"/>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103,890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Loan and interest receivable - related parties</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4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160" w:type="dxa"/>
            <w:vAlign w:val="bottom"/>
            <w:tcBorders>
              <w:bottom w:val="single" w:sz="8" w:color="auto"/>
            </w:tcBorders>
          </w:tcPr>
          <w:p>
            <w:pPr>
              <w:jc w:val="right"/>
              <w:ind w:right="100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8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6"/>
                <w:szCs w:val="16"/>
                <w:color w:val="auto"/>
              </w:rPr>
              <w:t>(103,890</w:t>
            </w:r>
          </w:p>
        </w:tc>
        <w:tc>
          <w:tcPr>
            <w:tcW w:w="12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40" w:type="dxa"/>
            <w:vAlign w:val="bottom"/>
            <w:tcBorders>
              <w:bottom w:val="single" w:sz="8" w:color="CCEEFF"/>
            </w:tcBorders>
            <w:shd w:val="clear" w:color="auto" w:fill="CCEEFF"/>
          </w:tcPr>
          <w:p>
            <w:pPr>
              <w:ind w:left="280"/>
              <w:spacing w:after="0" w:line="164" w:lineRule="exact"/>
              <w:rPr>
                <w:sz w:val="20"/>
                <w:szCs w:val="20"/>
                <w:color w:val="auto"/>
              </w:rPr>
            </w:pPr>
            <w:r>
              <w:rPr>
                <w:rFonts w:ascii="Times New Roman" w:cs="Times New Roman" w:eastAsia="Times New Roman" w:hAnsi="Times New Roman"/>
                <w:sz w:val="16"/>
                <w:szCs w:val="16"/>
                <w:color w:val="auto"/>
              </w:rPr>
              <w:t>Loan and interest from shareholder</w:t>
            </w:r>
          </w:p>
        </w:tc>
        <w:tc>
          <w:tcPr>
            <w:tcW w:w="2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0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94,934,400</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Dividend distribution</w:t>
            </w:r>
          </w:p>
        </w:tc>
        <w:tc>
          <w:tcPr>
            <w:tcW w:w="22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67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60" w:type="dxa"/>
            <w:vAlign w:val="bottom"/>
          </w:tcPr>
          <w:p>
            <w:pPr>
              <w:jc w:val="right"/>
              <w:ind w:right="100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continue"/>
          </w:tcPr>
          <w:p>
            <w:pPr>
              <w:spacing w:after="0"/>
              <w:rPr>
                <w:sz w:val="15"/>
                <w:szCs w:val="15"/>
                <w:color w:val="auto"/>
              </w:rPr>
            </w:pPr>
          </w:p>
        </w:tc>
        <w:tc>
          <w:tcPr>
            <w:tcW w:w="440" w:type="dxa"/>
            <w:vAlign w:val="bottom"/>
          </w:tcPr>
          <w:p>
            <w:pPr>
              <w:jc w:val="right"/>
              <w:ind w:right="28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(94,934,400</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50100" cy="141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100" cy="1416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Noncash finance activity during the year for:</w:t>
      </w:r>
    </w:p>
    <w:p>
      <w:pPr>
        <w:sectPr>
          <w:pgSz w:w="11900" w:h="16838" w:orient="portrait"/>
          <w:cols w:equalWidth="0" w:num="1">
            <w:col w:w="11260"/>
          </w:cols>
          <w:pgMar w:left="320" w:top="497" w:right="319" w:bottom="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4"/>
        </w:trPr>
        <w:tc>
          <w:tcPr>
            <w:tcW w:w="6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Issuance of warrants in connection with the equity line of credit</w:t>
            </w:r>
          </w:p>
        </w:tc>
        <w:tc>
          <w:tcPr>
            <w:tcW w:w="1300" w:type="dxa"/>
            <w:vAlign w:val="bottom"/>
            <w:gridSpan w:val="2"/>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(105,411)</w:t>
            </w:r>
          </w:p>
        </w:tc>
        <w:tc>
          <w:tcPr>
            <w:tcW w:w="66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5"/>
        </w:trPr>
        <w:tc>
          <w:tcPr>
            <w:tcW w:w="642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6420" w:type="dxa"/>
            <w:vAlign w:val="bottom"/>
            <w:tcBorders>
              <w:bottom w:val="single" w:sz="8" w:color="CCEEFF"/>
            </w:tcBorders>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color w:val="auto"/>
              </w:rPr>
              <w:t>Gain on paycheck protection program and economic injury disaster loan forgiveness</w:t>
            </w: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8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0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(174,436</w:t>
            </w:r>
          </w:p>
        </w:tc>
        <w:tc>
          <w:tcPr>
            <w:tcW w:w="120" w:type="dxa"/>
            <w:vAlign w:val="bottom"/>
            <w:tcBorders>
              <w:bottom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Snail Games USA common stock transferred due to reorganization</w:t>
            </w:r>
          </w:p>
        </w:tc>
        <w:tc>
          <w:tcPr>
            <w:tcW w:w="56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03"/>
        </w:trPr>
        <w:tc>
          <w:tcPr>
            <w:tcW w:w="6420" w:type="dxa"/>
            <w:vAlign w:val="bottom"/>
            <w:tcBorders>
              <w:bottom w:val="single" w:sz="8" w:color="CCEEFF"/>
            </w:tcBorders>
            <w:vMerge w:val="continue"/>
          </w:tcPr>
          <w:p>
            <w:pPr>
              <w:spacing w:after="0"/>
              <w:rPr>
                <w:sz w:val="17"/>
                <w:szCs w:val="17"/>
                <w:color w:val="auto"/>
              </w:rPr>
            </w:pPr>
          </w:p>
        </w:tc>
        <w:tc>
          <w:tcPr>
            <w:tcW w:w="560" w:type="dxa"/>
            <w:vAlign w:val="bottom"/>
            <w:tcBorders>
              <w:bottom w:val="single" w:sz="8" w:color="CCEEFF"/>
            </w:tcBorders>
            <w:vMerge w:val="continue"/>
          </w:tcPr>
          <w:p>
            <w:pPr>
              <w:spacing w:after="0"/>
              <w:rPr>
                <w:sz w:val="17"/>
                <w:szCs w:val="17"/>
                <w:color w:val="auto"/>
              </w:rPr>
            </w:pPr>
          </w:p>
        </w:tc>
        <w:tc>
          <w:tcPr>
            <w:tcW w:w="740" w:type="dxa"/>
            <w:vAlign w:val="bottom"/>
            <w:tcBorders>
              <w:bottom w:val="single" w:sz="8" w:color="auto"/>
            </w:tcBorders>
          </w:tcPr>
          <w:p>
            <w:pPr>
              <w:jc w:val="right"/>
              <w:ind w:right="58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50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420" w:type="dxa"/>
            <w:vAlign w:val="bottom"/>
            <w:tcBorders>
              <w:bottom w:val="single" w:sz="8" w:color="CCEEFF"/>
            </w:tcBorders>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color w:val="auto"/>
              </w:rPr>
              <w:t>Snail, Inc. common stock and additional paid-in capital transferred due to reorganization</w:t>
            </w: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8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0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Offering costs included in accounts payable</w:t>
            </w:r>
          </w:p>
        </w:tc>
        <w:tc>
          <w:tcPr>
            <w:tcW w:w="56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20" w:type="dxa"/>
            <w:vAlign w:val="bottom"/>
            <w:tcBorders>
              <w:bottom w:val="single" w:sz="8" w:color="CCEEFF"/>
            </w:tcBorders>
            <w:vMerge w:val="continue"/>
          </w:tcPr>
          <w:p>
            <w:pPr>
              <w:spacing w:after="0"/>
              <w:rPr>
                <w:sz w:val="17"/>
                <w:szCs w:val="17"/>
                <w:color w:val="auto"/>
              </w:rPr>
            </w:pPr>
          </w:p>
        </w:tc>
        <w:tc>
          <w:tcPr>
            <w:tcW w:w="560" w:type="dxa"/>
            <w:vAlign w:val="bottom"/>
            <w:tcBorders>
              <w:bottom w:val="single" w:sz="8" w:color="CCEEFF"/>
            </w:tcBorders>
            <w:vMerge w:val="continue"/>
          </w:tcPr>
          <w:p>
            <w:pPr>
              <w:spacing w:after="0"/>
              <w:rPr>
                <w:sz w:val="17"/>
                <w:szCs w:val="17"/>
                <w:color w:val="auto"/>
              </w:rPr>
            </w:pPr>
          </w:p>
        </w:tc>
        <w:tc>
          <w:tcPr>
            <w:tcW w:w="740" w:type="dxa"/>
            <w:vAlign w:val="bottom"/>
            <w:tcBorders>
              <w:bottom w:val="single" w:sz="8" w:color="auto"/>
            </w:tcBorders>
          </w:tcPr>
          <w:p>
            <w:pPr>
              <w:jc w:val="right"/>
              <w:ind w:right="58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50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6"/>
                <w:szCs w:val="16"/>
                <w:color w:val="auto"/>
              </w:rPr>
              <w:t>605,295</w:t>
            </w:r>
          </w:p>
        </w:tc>
        <w:tc>
          <w:tcPr>
            <w:tcW w:w="12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420" w:type="dxa"/>
            <w:vAlign w:val="bottom"/>
            <w:tcBorders>
              <w:bottom w:val="single" w:sz="8" w:color="CCEEFF"/>
            </w:tcBorders>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color w:val="auto"/>
              </w:rPr>
              <w:t>Funding of the escrow deposit</w:t>
            </w: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8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0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(1,000,000</w:t>
            </w:r>
          </w:p>
        </w:tc>
        <w:tc>
          <w:tcPr>
            <w:tcW w:w="120" w:type="dxa"/>
            <w:vAlign w:val="bottom"/>
            <w:tcBorders>
              <w:bottom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PRESENTATION AND NATURE OF OPERATIONS</w:t>
      </w:r>
    </w:p>
    <w:p>
      <w:pPr>
        <w:spacing w:after="0" w:line="19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Snail, Inc. was incorporated under the laws of Delaware in January 2022. The terms “Snail, Inc,” “Snail Games,” “our” and the “Company” are used to refer collectively to Snail, Inc. and its subsidiaries. The Company’s fiscal year end is December 31. The Company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 July 13, 2022, Suzhou Snail transferred all of its right, title, and interest to all of the 500,000 shares of common stock of the Company (“Shares”) to Snail Technology (HK) Limited (“Snail Technology”), an entity organized under the laws of Hong Kong, pursuant to the certain Share Transfer Agreement dated July 13, 2022 between Suzhou Snail and Snail Technology. Subsequently, Snail Technology transferred all of its right, title, and interest in the shares to certain individuals per the Share Transfer Agreement. In connection with the reorganization transaction described below the individuals contributed their interest in the Company to Snail, Inc. in return for common stock of Snail, Inc. in connection with Snail, Inc.’s IPO. Because the Company and Suzhou Snail are owned by the same shareholders, Suzhou Snail is considered a related party to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Reorganization Transaction and IPO</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On September 16, 2022, Snail, Inc., filed a Registration Statement on Form S-1 with the United States Securities and Exchange Commission in connection with its IPO. On November 9, 2022, effective as of the IPO pricing, Snail Games USA Inc.’s existing shareholders transferred their 500,000 shares of common stock of Snail Games USA Inc. to Snail, Inc. in exchange for 6,251,420 shares of Class A common stock and 28,748,580 shares of Class B common stock of Snail, Inc., and Snail, Inc. became the parent of Snail Games USA Inc. Because the reorganization transaction was considered a transaction between entities under common control, the financial statements for periods prior to the reorganization transaction and the IPO have been adjusted to combine the previously separate entities for presentation purposes. On November 9, 2022, Snail, Inc. priced its IPO, and on November 10, 2022, Snail, Inc.’s Class A common stock began trading on The Nasdaq Capital Market under the ticker symbol SNAL. In the IPO, Snail, Inc. issued 3,000,000 shares of Class A common stock at $5.00 per share and net proceeds from the IPO were distributed to Snail Games USA Inc. in November 2022 in the amount of approximately $12.0 million, net of the underwriting discount and offering costs of $3.0 million. In connection with the IPO, $1.0 million of the IPO proceeds were remitted to an escrow account which is held to provide a source of funding for certain indemnification obligations of Snail, Inc. to the underwriters. The amount in escrow was reported as a restricted escrow deposit in the consolidated balance sheets as of December 31, 2022, until 12 months from the date of the offering, November 2023, at which time the restrictions were removed and the balance was reverted to unrestricted cash.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 and Consolidation</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the rules and regulations of the SEC and generally accepted accounting principles as promulgated in the United States of America (“U.S. GAAP”).</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the opinion of management, all adjustments considered necessary for the fair presentation of the Company’s financial position and its results of operations in accordance with U.S. GAAP (consisting of normal recurring adjustments) have been included in the accompanying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During the year ended December 31, 2023, certain comparative amounts have been reclassified due to immaterial errors identified by the Company in its presentation of certain server hosting costs. During the three months ended June 30, 2023, the Company began reporting all of its server hosting costs as costs of revenue whereas they were previously reported within both cost of sales and general and administrative expenses. The Company has assessed the materiality of these errors on its prior annual and interim financial statements, assessing materiality both quantitatively and qualitatively, in accordance with the SEC’s Staff Accounting Bulletin (“SAB”) No. 99 and SAB No. 108 and concluded that the errors were not material to those consolidated financial statements. However, to correctly present cost of revenues, gross profit and general and administrative expenses, the reclassifications have been made throughout this report and accompanying note disclosures. The effects on the related captions in the consolidated statements of operations and comprehensive income (loss) for all previously reported periods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auto"/>
                <w:w w:val="97"/>
              </w:rPr>
              <w:t>For the twelve months ended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8"/>
        </w:trPr>
        <w:tc>
          <w:tcPr>
            <w:tcW w:w="8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December 31, 2022</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8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6"/>
              </w:rPr>
              <w:t>Adjustment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As adjusted</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8"/>
        </w:trPr>
        <w:tc>
          <w:tcPr>
            <w:tcW w:w="840" w:type="dxa"/>
            <w:vAlign w:val="bottom"/>
          </w:tcPr>
          <w:p>
            <w:pPr>
              <w:spacing w:after="0"/>
              <w:rPr>
                <w:sz w:val="16"/>
                <w:szCs w:val="16"/>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32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49,507,888</w:t>
            </w: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center"/>
              <w:ind w:left="642"/>
              <w:spacing w:after="0"/>
              <w:rPr>
                <w:sz w:val="20"/>
                <w:szCs w:val="20"/>
                <w:color w:val="auto"/>
              </w:rPr>
            </w:pPr>
            <w:r>
              <w:rPr>
                <w:rFonts w:ascii="Times New Roman" w:cs="Times New Roman" w:eastAsia="Times New Roman" w:hAnsi="Times New Roman"/>
                <w:sz w:val="16"/>
                <w:szCs w:val="16"/>
                <w:color w:val="auto"/>
                <w:w w:val="96"/>
              </w:rPr>
              <w:t>3,613,788</w:t>
            </w: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53,121,676</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84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24,936,253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left="422"/>
              <w:spacing w:after="0"/>
              <w:rPr>
                <w:sz w:val="20"/>
                <w:szCs w:val="20"/>
                <w:color w:val="auto"/>
              </w:rPr>
            </w:pPr>
            <w:r>
              <w:rPr>
                <w:rFonts w:ascii="Times New Roman" w:cs="Times New Roman" w:eastAsia="Times New Roman" w:hAnsi="Times New Roman"/>
                <w:sz w:val="16"/>
                <w:szCs w:val="16"/>
                <w:color w:val="auto"/>
                <w:w w:val="96"/>
              </w:rPr>
              <w:t>(3,613,788)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21,322,465</w:t>
            </w:r>
          </w:p>
        </w:tc>
        <w:tc>
          <w:tcPr>
            <w:tcW w:w="860" w:type="dxa"/>
            <w:vAlign w:val="bottom"/>
          </w:tcPr>
          <w:p>
            <w:pPr>
              <w:spacing w:after="0"/>
              <w:rPr>
                <w:sz w:val="16"/>
                <w:szCs w:val="16"/>
                <w:color w:val="auto"/>
              </w:rPr>
            </w:pPr>
          </w:p>
        </w:tc>
      </w:tr>
      <w:tr>
        <w:trPr>
          <w:trHeight w:val="188"/>
        </w:trPr>
        <w:tc>
          <w:tcPr>
            <w:tcW w:w="84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22,327,746</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left="422"/>
              <w:spacing w:after="0"/>
              <w:rPr>
                <w:sz w:val="20"/>
                <w:szCs w:val="20"/>
                <w:color w:val="auto"/>
              </w:rPr>
            </w:pPr>
            <w:r>
              <w:rPr>
                <w:rFonts w:ascii="Times New Roman" w:cs="Times New Roman" w:eastAsia="Times New Roman" w:hAnsi="Times New Roman"/>
                <w:sz w:val="16"/>
                <w:szCs w:val="16"/>
                <w:color w:val="auto"/>
                <w:w w:val="96"/>
              </w:rPr>
              <w:t>(3,613,788)</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18,713,958</w:t>
            </w:r>
          </w:p>
        </w:tc>
        <w:tc>
          <w:tcPr>
            <w:tcW w:w="860" w:type="dxa"/>
            <w:vAlign w:val="bottom"/>
          </w:tcPr>
          <w:p>
            <w:pPr>
              <w:spacing w:after="0"/>
              <w:rPr>
                <w:sz w:val="16"/>
                <w:szCs w:val="16"/>
                <w:color w:val="auto"/>
              </w:rPr>
            </w:pPr>
          </w:p>
        </w:tc>
      </w:tr>
      <w:tr>
        <w:trPr>
          <w:trHeight w:val="360"/>
        </w:trPr>
        <w:tc>
          <w:tcPr>
            <w:tcW w:w="8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color w:val="auto"/>
                <w:w w:val="98"/>
              </w:rPr>
              <w:t>For the three months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8"/>
        </w:trPr>
        <w:tc>
          <w:tcPr>
            <w:tcW w:w="8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March 31, 2023</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8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6"/>
              </w:rPr>
              <w:t>Adjustment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As adjusted</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8"/>
        </w:trPr>
        <w:tc>
          <w:tcPr>
            <w:tcW w:w="840" w:type="dxa"/>
            <w:vAlign w:val="bottom"/>
          </w:tcPr>
          <w:p>
            <w:pPr>
              <w:spacing w:after="0"/>
              <w:rPr>
                <w:sz w:val="16"/>
                <w:szCs w:val="16"/>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32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9,816,397</w:t>
            </w: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center"/>
              <w:ind w:left="642"/>
              <w:spacing w:after="0"/>
              <w:rPr>
                <w:sz w:val="20"/>
                <w:szCs w:val="20"/>
                <w:color w:val="auto"/>
              </w:rPr>
            </w:pPr>
            <w:r>
              <w:rPr>
                <w:rFonts w:ascii="Times New Roman" w:cs="Times New Roman" w:eastAsia="Times New Roman" w:hAnsi="Times New Roman"/>
                <w:sz w:val="16"/>
                <w:szCs w:val="16"/>
                <w:color w:val="auto"/>
                <w:w w:val="96"/>
              </w:rPr>
              <w:t>1,044,540</w:t>
            </w: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10,860,937</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84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3,642,091</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left="422"/>
              <w:spacing w:after="0"/>
              <w:rPr>
                <w:sz w:val="20"/>
                <w:szCs w:val="20"/>
                <w:color w:val="auto"/>
              </w:rPr>
            </w:pPr>
            <w:r>
              <w:rPr>
                <w:rFonts w:ascii="Times New Roman" w:cs="Times New Roman" w:eastAsia="Times New Roman" w:hAnsi="Times New Roman"/>
                <w:sz w:val="16"/>
                <w:szCs w:val="16"/>
                <w:color w:val="auto"/>
                <w:w w:val="96"/>
              </w:rPr>
              <w:t>(1,044,540)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2,597,551</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84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5,570,291</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left="422"/>
              <w:spacing w:after="0"/>
              <w:rPr>
                <w:sz w:val="20"/>
                <w:szCs w:val="20"/>
                <w:color w:val="auto"/>
              </w:rPr>
            </w:pPr>
            <w:r>
              <w:rPr>
                <w:rFonts w:ascii="Times New Roman" w:cs="Times New Roman" w:eastAsia="Times New Roman" w:hAnsi="Times New Roman"/>
                <w:sz w:val="16"/>
                <w:szCs w:val="16"/>
                <w:color w:val="auto"/>
                <w:w w:val="96"/>
              </w:rPr>
              <w:t>(1,044,540)</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4,525,751</w:t>
            </w:r>
          </w:p>
        </w:tc>
        <w:tc>
          <w:tcPr>
            <w:tcW w:w="80" w:type="dxa"/>
            <w:vAlign w:val="bottom"/>
            <w:shd w:val="clear" w:color="auto" w:fill="CCEEFF"/>
          </w:tcPr>
          <w:p>
            <w:pPr>
              <w:spacing w:after="0"/>
              <w:rPr>
                <w:sz w:val="16"/>
                <w:szCs w:val="16"/>
                <w:color w:val="auto"/>
              </w:rPr>
            </w:pPr>
          </w:p>
        </w:tc>
        <w:tc>
          <w:tcPr>
            <w:tcW w:w="860" w:type="dxa"/>
            <w:vAlign w:val="bottom"/>
          </w:tcPr>
          <w:p>
            <w:pPr>
              <w:spacing w:after="0"/>
              <w:rPr>
                <w:sz w:val="16"/>
                <w:szCs w:val="16"/>
                <w:color w:val="auto"/>
              </w:rPr>
            </w:pPr>
          </w:p>
        </w:tc>
      </w:tr>
      <w:tr>
        <w:trPr>
          <w:trHeight w:val="380"/>
        </w:trPr>
        <w:tc>
          <w:tcPr>
            <w:tcW w:w="8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F-8</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7"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consolidated financial statements include the accounts of Snail, Inc. and the following subsidiaries:</w:t>
            </w: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Equity %</w:t>
            </w: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788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6"/>
                <w:szCs w:val="16"/>
                <w:b w:val="1"/>
                <w:bCs w:val="1"/>
                <w:color w:val="auto"/>
              </w:rPr>
              <w:t>Subsidiary Name</w:t>
            </w:r>
          </w:p>
        </w:tc>
        <w:tc>
          <w:tcPr>
            <w:tcW w:w="2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Snail Games USA Inc.</w:t>
            </w:r>
          </w:p>
        </w:tc>
        <w:tc>
          <w:tcPr>
            <w:tcW w:w="2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Snail Innovation Institute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Frostkeep Studios, Inc.</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Eminence Corp</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Wandering Wizard, LLC</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Donkey Crew, LLC</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Interactive Films, LLC</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Project AWK Productions, LLC</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BTBX.IO, LLC</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intercompany accounts, transactions, and profits have been eliminated upon consolidation.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9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 xml:space="preserve">The preparation of consolidated financial statements in conformity with U.S. GAAP requires the Company to make estimates and assumptions that affect the amounts reported in our consolidated financial statements and the accompanying notes. Such estimates include revenue recognition, see Note 2 – </w:t>
      </w:r>
      <w:r>
        <w:rPr>
          <w:rFonts w:ascii="Times New Roman" w:cs="Times New Roman" w:eastAsia="Times New Roman" w:hAnsi="Times New Roman"/>
          <w:sz w:val="16"/>
          <w:szCs w:val="16"/>
          <w:i w:val="1"/>
          <w:iCs w:val="1"/>
          <w:color w:val="auto"/>
        </w:rPr>
        <w:t>Revenue Recognition</w:t>
      </w:r>
      <w:r>
        <w:rPr>
          <w:rFonts w:ascii="Times New Roman" w:cs="Times New Roman" w:eastAsia="Times New Roman" w:hAnsi="Times New Roman"/>
          <w:sz w:val="16"/>
          <w:szCs w:val="16"/>
          <w:color w:val="auto"/>
        </w:rPr>
        <w:t>, provisions for credit losses, deferred income tax assets and associated valuation allowances, deferred revenue, income taxes, valuation of intangibles, including those with related parties, impairment of intangible assets, stock-based compensation and fair value of warrants.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Reporting</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 xml:space="preserve">The Company has one operating and reportable segment. Our operations involve similar products and customers worldwide. Revenue earned is primarily derived from the sale of software titles, which are developed internally or licensed from related parties. Financial information about our segment and geographic regions is included in Note 3 –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from Contracts with Customers</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For the first three quarters of the fiscal year 2023 the Company had a net loss, net cash used in operations, debt obligations coming due in less than 12 months, a potential need for additional capital, and had uncertainties surrounding its ability to raise additional capital and renegotiate its debt arrangements. In the fourth quarter of fiscal year 2023 the Company released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The release resulted in significant increases in revenues, receivables and cashflows for the fourth quarter, in comparison to the first three quarters of 2023.</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During the year ended December 31, 2023, the Company renewed its 2021 Revolving Loan (as defined below) which will become due and mature at the end of 2024. The Company paid $3.0 million of the revolving loan in January 2024. The Company paid off the $0.8 million balance of its 2022 Short Term Note (as defined below) in January 2024 and is in the process of negotiating a new term loan. The Company also repaid $0.3 million of accrued interest and principal on its convertible notes balance and the Company’s $1.5 million short term note was paid off in the first quarter of 2024. The Company paid an additional $0.3 million of accrued interest and principal on its convertible notes balance in April 2024. Currently, management expects that the Company will not be in compliance with its quarterly debt covenants for the three months ending March 31, 2024. Management is working with the lender to resolve the expected non-compliance with the debt covenants. The Company’s ability to comply with the covenants, or receive waivers for the covenants, can lead to the acceleration of payments due under the debt facilities with the lender, which include the $6.0 million revolving loan and $2.8 million promissory note, cause the lender to cease making advances under the revolving agreement, or allow the lender take possession of collateral.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70" w:name="page71"/>
    <w:bookmarkEnd w:id="70"/>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6"/>
          <w:szCs w:val="16"/>
          <w:color w:val="auto"/>
        </w:rPr>
        <w:t>From time to time, the Company could be required, or may otherwise attempt, to seek additional sources of capital, including, but not limited to, equity and/or debt financings. The need for additional capital depends on many factors, including, among other things, whether the Company can successfully renegotiate the terms of its debt arrangements, the rate at which the Company’s business grows, demands for working capital, revenue generated from existing downloadable content (“DLCs”) and game titles, launches of new DLCs and new game titles, and any acquisitions that the Company may pursue.</w:t>
      </w:r>
    </w:p>
    <w:p>
      <w:pPr>
        <w:spacing w:after="0" w:line="164" w:lineRule="exact"/>
        <w:rPr>
          <w:sz w:val="20"/>
          <w:szCs w:val="20"/>
          <w:color w:val="auto"/>
        </w:rPr>
      </w:pPr>
    </w:p>
    <w:p>
      <w:pPr>
        <w:jc w:val="both"/>
        <w:ind w:left="6"/>
        <w:spacing w:after="0" w:line="270" w:lineRule="auto"/>
        <w:rPr>
          <w:sz w:val="20"/>
          <w:szCs w:val="20"/>
          <w:color w:val="auto"/>
        </w:rPr>
      </w:pPr>
      <w:r>
        <w:rPr>
          <w:rFonts w:ascii="Times New Roman" w:cs="Times New Roman" w:eastAsia="Times New Roman" w:hAnsi="Times New Roman"/>
          <w:sz w:val="16"/>
          <w:szCs w:val="16"/>
          <w:color w:val="auto"/>
        </w:rPr>
        <w:t>Our current unrestricted cash position of approximately $15.2 million, and our expected revenue receipts will allow the Company to continue operations beyond the next 12 months and service its current debts.</w:t>
      </w:r>
    </w:p>
    <w:p>
      <w:pPr>
        <w:spacing w:after="0" w:line="1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96" w:lineRule="exact"/>
        <w:rPr>
          <w:sz w:val="20"/>
          <w:szCs w:val="20"/>
          <w:color w:val="auto"/>
        </w:rPr>
      </w:pPr>
    </w:p>
    <w:p>
      <w:pPr>
        <w:jc w:val="both"/>
        <w:ind w:left="6"/>
        <w:spacing w:after="0" w:line="251" w:lineRule="auto"/>
        <w:rPr>
          <w:sz w:val="20"/>
          <w:szCs w:val="20"/>
          <w:color w:val="auto"/>
        </w:rPr>
      </w:pPr>
      <w:r>
        <w:rPr>
          <w:rFonts w:ascii="Times New Roman" w:cs="Times New Roman" w:eastAsia="Times New Roman" w:hAnsi="Times New Roman"/>
          <w:sz w:val="16"/>
          <w:szCs w:val="16"/>
          <w:color w:val="auto"/>
        </w:rPr>
        <w:t>The Company’s revenue is generated from the publishing of software games sold digitally and through physical discs (e.g., packaged goods), the publishing of separate downloadable content that are new feature releases to existing digital full-game downloads, and in-app purchases of virtual goods used by players of its free-to-play mobile games. When control of the promised products and services is transferred to the end users, the Company recognizes revenue in the amount that reflects the consideration it expects to receive in exchange for these products and services. Revenue from delivery of products is recognized at a point in time when the end consumers purchase the games, and the control of the license is transferred to them.</w:t>
      </w:r>
    </w:p>
    <w:p>
      <w:pPr>
        <w:spacing w:after="0" w:line="166"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6"/>
          <w:szCs w:val="16"/>
          <w:color w:val="auto"/>
        </w:rPr>
        <w:t>The virtual goods that the Company sells to players of our free-to-play mobile-games, include virtual currency or in-game purchases of additional game play functionality. For virtual goods, the satisfaction of our performance obligation is dependent on the nature of the virtual good purchased and as a result, the Company categorizes its virtual goods as follows:</w:t>
      </w:r>
    </w:p>
    <w:p>
      <w:pPr>
        <w:spacing w:after="0" w:line="159" w:lineRule="exact"/>
        <w:rPr>
          <w:sz w:val="20"/>
          <w:szCs w:val="20"/>
          <w:color w:val="auto"/>
        </w:rPr>
      </w:pPr>
    </w:p>
    <w:p>
      <w:pPr>
        <w:jc w:val="both"/>
        <w:ind w:left="566" w:hanging="284"/>
        <w:spacing w:after="0" w:line="258" w:lineRule="auto"/>
        <w:tabs>
          <w:tab w:leader="none" w:pos="56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Consumable: consumable </w:t>
      </w:r>
      <w:r>
        <w:rPr>
          <w:rFonts w:ascii="Times New Roman" w:cs="Times New Roman" w:eastAsia="Times New Roman" w:hAnsi="Times New Roman"/>
          <w:sz w:val="16"/>
          <w:szCs w:val="16"/>
          <w:color w:val="auto"/>
          <w:highlight w:val="white"/>
        </w:rPr>
        <w:t>virtual items represent items that can be consumed by a specific player action. Consumable virtual items do not result in a direct benefit that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player keeps or provide the player any continuing benefit following consumption, and they often enable a player to perform an in-game action immediately. For the sale of consumable virtual items, the Company recognizes revenue as the items are consumed (i.e., over time)</w:t>
      </w:r>
      <w:r>
        <w:rPr>
          <w:rFonts w:ascii="Times New Roman" w:cs="Times New Roman" w:eastAsia="Times New Roman" w:hAnsi="Times New Roman"/>
          <w:sz w:val="16"/>
          <w:szCs w:val="16"/>
          <w:color w:val="auto"/>
        </w:rPr>
        <w:t>.</w:t>
      </w:r>
    </w:p>
    <w:p>
      <w:pPr>
        <w:spacing w:after="0" w:line="158" w:lineRule="exact"/>
        <w:rPr>
          <w:rFonts w:ascii="Times New Roman" w:cs="Times New Roman" w:eastAsia="Times New Roman" w:hAnsi="Times New Roman"/>
          <w:sz w:val="16"/>
          <w:szCs w:val="16"/>
          <w:color w:val="auto"/>
        </w:rPr>
      </w:pPr>
    </w:p>
    <w:p>
      <w:pPr>
        <w:jc w:val="both"/>
        <w:ind w:left="566" w:right="20" w:hanging="284"/>
        <w:spacing w:after="0" w:line="258" w:lineRule="auto"/>
        <w:tabs>
          <w:tab w:leader="none" w:pos="56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Durable: durable </w:t>
      </w:r>
      <w:r>
        <w:rPr>
          <w:rFonts w:ascii="Times New Roman" w:cs="Times New Roman" w:eastAsia="Times New Roman" w:hAnsi="Times New Roman"/>
          <w:sz w:val="16"/>
          <w:szCs w:val="16"/>
          <w:color w:val="auto"/>
          <w:highlight w:val="white"/>
        </w:rPr>
        <w:t>virtual items represent items that are accessible to the player over an extended period of time. The Company recognizes revenue from the sale of durable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virtual items ratably over the estimated service period for the applicable game (i.e., over time), which represents our best estimate of the average life of the durable virtual item.</w:t>
      </w:r>
    </w:p>
    <w:p>
      <w:pPr>
        <w:spacing w:after="0" w:line="157" w:lineRule="exact"/>
        <w:rPr>
          <w:sz w:val="20"/>
          <w:szCs w:val="20"/>
          <w:color w:val="auto"/>
        </w:rPr>
      </w:pPr>
    </w:p>
    <w:p>
      <w:pPr>
        <w:jc w:val="both"/>
        <w:ind w:left="6"/>
        <w:spacing w:after="0" w:line="259" w:lineRule="auto"/>
        <w:rPr>
          <w:sz w:val="20"/>
          <w:szCs w:val="20"/>
          <w:color w:val="auto"/>
        </w:rPr>
      </w:pPr>
      <w:r>
        <w:rPr>
          <w:rFonts w:ascii="Times New Roman" w:cs="Times New Roman" w:eastAsia="Times New Roman" w:hAnsi="Times New Roman"/>
          <w:sz w:val="16"/>
          <w:szCs w:val="16"/>
          <w:color w:val="auto"/>
        </w:rPr>
        <w:t xml:space="preserve">For the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DLC’s that have not yet launched and been reported in deferred revenue in the consolidated balance sheets, the Company has used the adjusted market assessment approach per ASC 606-10-32-34 to assign a value for the Company’s remaining performance obligation. The Company uses the following reasonably available information in developing the standalone selling prices of the performance obligations:</w:t>
      </w:r>
    </w:p>
    <w:p>
      <w:pPr>
        <w:spacing w:after="0" w:line="159" w:lineRule="exact"/>
        <w:rPr>
          <w:sz w:val="20"/>
          <w:szCs w:val="20"/>
          <w:color w:val="auto"/>
        </w:rPr>
      </w:pPr>
    </w:p>
    <w:p>
      <w:pPr>
        <w:ind w:left="566" w:hanging="284"/>
        <w:spacing w:after="0"/>
        <w:tabs>
          <w:tab w:leader="none" w:pos="56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Reasonably available data points, including third party or industry pricing, and contractually stated prices.</w:t>
      </w:r>
    </w:p>
    <w:p>
      <w:pPr>
        <w:spacing w:after="0" w:line="192"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such as market demand, competition, market constraints, awareness of the product and market trends.</w:t>
      </w:r>
    </w:p>
    <w:p>
      <w:pPr>
        <w:spacing w:after="0" w:line="192"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Entity-specific factors including pricing strategies and objectives, market share and pricing practices for bundled arrangements.</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 xml:space="preserve">The Company recognizes revenue using the following five steps as provided by Accounting Standards Codification (“ASC”) Topic 606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w:t>
      </w:r>
    </w:p>
    <w:p>
      <w:pPr>
        <w:spacing w:after="0" w:line="33" w:lineRule="exact"/>
        <w:rPr>
          <w:sz w:val="20"/>
          <w:szCs w:val="20"/>
          <w:color w:val="auto"/>
        </w:rPr>
      </w:pPr>
    </w:p>
    <w:p>
      <w:pPr>
        <w:jc w:val="both"/>
        <w:ind w:left="6" w:hanging="6"/>
        <w:spacing w:after="0" w:line="247" w:lineRule="auto"/>
        <w:tabs>
          <w:tab w:leader="none" w:pos="18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contract(s) with the customer; 2) 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payment terms of net 30 to 75 days.</w:t>
      </w:r>
    </w:p>
    <w:p>
      <w:pPr>
        <w:spacing w:after="0" w:line="1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Principal vs. Agent Consideration</w:t>
      </w:r>
    </w:p>
    <w:p>
      <w:pPr>
        <w:spacing w:after="0" w:line="196" w:lineRule="exact"/>
        <w:rPr>
          <w:sz w:val="20"/>
          <w:szCs w:val="20"/>
          <w:color w:val="auto"/>
        </w:rPr>
      </w:pPr>
    </w:p>
    <w:p>
      <w:pPr>
        <w:jc w:val="both"/>
        <w:ind w:left="6" w:right="20"/>
        <w:spacing w:after="0" w:line="272" w:lineRule="auto"/>
        <w:rPr>
          <w:sz w:val="20"/>
          <w:szCs w:val="20"/>
          <w:color w:val="auto"/>
        </w:rPr>
      </w:pPr>
      <w:r>
        <w:rPr>
          <w:rFonts w:ascii="Times New Roman" w:cs="Times New Roman" w:eastAsia="Times New Roman" w:hAnsi="Times New Roman"/>
          <w:sz w:val="15"/>
          <w:szCs w:val="15"/>
          <w:color w:val="auto"/>
        </w:rPr>
        <w:t>The Company offers certain software products via third-party digital storefronts, such as Microsoft’s Xbox Live, Sony’s PlayStation Network, Valve’s Steam, Epic Games Store, My Nintendo Store, Apple’s App Store, the Google Play Store, and retail distributors. For sales of our software products via third-party digital storefronts and retail distributor, the Company determines whether or not it is acting as the principal in the sale to the end user, which the Company considers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the Company uses in evaluating these sales transactions include, but are not limited to, the following:</w:t>
      </w:r>
    </w:p>
    <w:p>
      <w:pPr>
        <w:spacing w:after="0" w:line="151" w:lineRule="exact"/>
        <w:rPr>
          <w:sz w:val="20"/>
          <w:szCs w:val="20"/>
          <w:color w:val="auto"/>
        </w:rPr>
      </w:pPr>
    </w:p>
    <w:p>
      <w:pPr>
        <w:ind w:left="566" w:hanging="284"/>
        <w:spacing w:after="0"/>
        <w:tabs>
          <w:tab w:leader="none" w:pos="56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underlying contract terms and conditions between the various parties to the transaction;</w:t>
      </w:r>
    </w:p>
    <w:p>
      <w:pPr>
        <w:spacing w:after="0" w:line="192"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party is primarily responsible for fulfilling the promise to provide the specified good or service; and</w:t>
      </w:r>
    </w:p>
    <w:p>
      <w:pPr>
        <w:spacing w:after="0" w:line="192"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party has discretion in establishing the price for the specified good or service.</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497"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Based on our evaluation of the above indicators, for sales arrangements via Microsoft’s Xbox Live, Sony’s PlayStation Network, Valve’s Steam, Epic Games Store, My Nintendo Store, and our retail distributor, the digital platforms and distributors have discretion in establishing the price for the specified good or service and the Company has determined it is the agent in the sales transaction to the end user and therefore the Company reports revenue on a net basis based on the consideration received from the digital storefront. For sales arrangements via Apple’s App Store and the Google Play Store, the Company has discretion in establishing the price for the specified good or service and it has determined that the Company is the principal to the end user and thus reports revenue on a gross basis and mobile platform fees charged by these digital storefronts are expensed as incurred and reported within cost of revenues.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 Balance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records deferred revenue when cash payments are received or due in advance of its performance, even if amounts are refundable.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Deferred revenue is comprised of the transaction price allocable to the Company’s performance obligation on technical support and the sale of virtual goods available for in-app purchase, and payments received from customers prior to launching the games on the platforms. The Company recognizes revenues from the sale of virtual goods ratably over their estimated service period. The Company’s estimated service period is generally 30 to 100 days from the date of purchase.</w:t>
      </w:r>
    </w:p>
    <w:p>
      <w:pPr>
        <w:spacing w:after="0" w:line="15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 xml:space="preserve">The Company has a long-term title license agreement with a platform. The agreement was initially made between the parties in November 2018 and valid through December 31, 2021. The agreement was subsequently amended in June 2020 to extend the </w:t>
      </w:r>
      <w:r>
        <w:rPr>
          <w:rFonts w:ascii="Times New Roman" w:cs="Times New Roman" w:eastAsia="Times New Roman" w:hAnsi="Times New Roman"/>
          <w:sz w:val="16"/>
          <w:szCs w:val="16"/>
          <w:i w:val="1"/>
          <w:iCs w:val="1"/>
          <w:color w:val="auto"/>
        </w:rPr>
        <w:t>ARK 1</w:t>
      </w:r>
      <w:r>
        <w:rPr>
          <w:rFonts w:ascii="Times New Roman" w:cs="Times New Roman" w:eastAsia="Times New Roman" w:hAnsi="Times New Roman"/>
          <w:sz w:val="16"/>
          <w:szCs w:val="16"/>
          <w:color w:val="auto"/>
        </w:rPr>
        <w:t xml:space="preserve"> availability on the platform perpetually, effective January 1, 2022 and to put </w:t>
      </w:r>
      <w:r>
        <w:rPr>
          <w:rFonts w:ascii="Times New Roman" w:cs="Times New Roman" w:eastAsia="Times New Roman" w:hAnsi="Times New Roman"/>
          <w:sz w:val="16"/>
          <w:szCs w:val="16"/>
          <w:i w:val="1"/>
          <w:iCs w:val="1"/>
          <w:color w:val="auto"/>
        </w:rPr>
        <w:t>ARK II</w:t>
      </w:r>
      <w:r>
        <w:rPr>
          <w:rFonts w:ascii="Times New Roman" w:cs="Times New Roman" w:eastAsia="Times New Roman" w:hAnsi="Times New Roman"/>
          <w:sz w:val="16"/>
          <w:szCs w:val="16"/>
          <w:color w:val="auto"/>
        </w:rPr>
        <w:t xml:space="preserve"> on the platform for three years upon release. The Company recognized $2.5 million in revenue related to </w:t>
      </w:r>
      <w:r>
        <w:rPr>
          <w:rFonts w:ascii="Times New Roman" w:cs="Times New Roman" w:eastAsia="Times New Roman" w:hAnsi="Times New Roman"/>
          <w:sz w:val="16"/>
          <w:szCs w:val="16"/>
          <w:i w:val="1"/>
          <w:iCs w:val="1"/>
          <w:color w:val="auto"/>
        </w:rPr>
        <w:t>ARK 1’s</w:t>
      </w:r>
      <w:r>
        <w:rPr>
          <w:rFonts w:ascii="Times New Roman" w:cs="Times New Roman" w:eastAsia="Times New Roman" w:hAnsi="Times New Roman"/>
          <w:sz w:val="16"/>
          <w:szCs w:val="16"/>
          <w:color w:val="auto"/>
        </w:rPr>
        <w:t xml:space="preserve"> perpetual license during the year ended December 31, 2022 and deferred $2.3 million related to </w:t>
      </w:r>
      <w:r>
        <w:rPr>
          <w:rFonts w:ascii="Times New Roman" w:cs="Times New Roman" w:eastAsia="Times New Roman" w:hAnsi="Times New Roman"/>
          <w:sz w:val="16"/>
          <w:szCs w:val="16"/>
          <w:i w:val="1"/>
          <w:iCs w:val="1"/>
          <w:color w:val="auto"/>
        </w:rPr>
        <w:t>ARK II</w:t>
      </w:r>
      <w:r>
        <w:rPr>
          <w:rFonts w:ascii="Times New Roman" w:cs="Times New Roman" w:eastAsia="Times New Roman" w:hAnsi="Times New Roman"/>
          <w:sz w:val="16"/>
          <w:szCs w:val="16"/>
          <w:color w:val="auto"/>
        </w:rPr>
        <w:t xml:space="preserve"> that is included in the long-term portion of deferred revenue and will be recognized upon the release of </w:t>
      </w:r>
      <w:r>
        <w:rPr>
          <w:rFonts w:ascii="Times New Roman" w:cs="Times New Roman" w:eastAsia="Times New Roman" w:hAnsi="Times New Roman"/>
          <w:sz w:val="16"/>
          <w:szCs w:val="16"/>
          <w:i w:val="1"/>
          <w:iCs w:val="1"/>
          <w:color w:val="auto"/>
        </w:rPr>
        <w:t>ARK II</w:t>
      </w:r>
      <w:r>
        <w:rPr>
          <w:rFonts w:ascii="Times New Roman" w:cs="Times New Roman" w:eastAsia="Times New Roman" w:hAnsi="Times New Roman"/>
          <w:sz w:val="16"/>
          <w:szCs w:val="16"/>
          <w:color w:val="auto"/>
        </w:rPr>
        <w:t xml:space="preserve"> on the platform.</w:t>
      </w:r>
    </w:p>
    <w:p>
      <w:pPr>
        <w:spacing w:after="0" w:line="162"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5"/>
          <w:szCs w:val="15"/>
          <w:color w:val="auto"/>
        </w:rPr>
        <w:t xml:space="preserve">In November 2021, the Company entered an agreement with a platform to make </w:t>
      </w:r>
      <w:r>
        <w:rPr>
          <w:rFonts w:ascii="Times New Roman" w:cs="Times New Roman" w:eastAsia="Times New Roman" w:hAnsi="Times New Roman"/>
          <w:sz w:val="15"/>
          <w:szCs w:val="15"/>
          <w:i w:val="1"/>
          <w:iCs w:val="1"/>
          <w:color w:val="auto"/>
        </w:rPr>
        <w:t>ARK 1</w:t>
      </w:r>
      <w:r>
        <w:rPr>
          <w:rFonts w:ascii="Times New Roman" w:cs="Times New Roman" w:eastAsia="Times New Roman" w:hAnsi="Times New Roman"/>
          <w:sz w:val="15"/>
          <w:szCs w:val="15"/>
          <w:color w:val="auto"/>
        </w:rPr>
        <w:t xml:space="preserve"> available on a platform for a period of 5 weeks in exchange for $3.5 million. The platform launched the 5-week program on March 1, 2022 and the Company recognized the full amount of revenue from this contract during the year ended December 31, 2022.</w:t>
      </w:r>
    </w:p>
    <w:p>
      <w:pPr>
        <w:spacing w:after="0" w:line="1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Company entered into a non-exclusive license agreement with a platform in February 2020 to make </w:t>
      </w:r>
      <w:r>
        <w:rPr>
          <w:rFonts w:ascii="Times New Roman" w:cs="Times New Roman" w:eastAsia="Times New Roman" w:hAnsi="Times New Roman"/>
          <w:sz w:val="16"/>
          <w:szCs w:val="16"/>
          <w:i w:val="1"/>
          <w:iCs w:val="1"/>
          <w:color w:val="auto"/>
        </w:rPr>
        <w:t>ARK 1</w:t>
      </w:r>
      <w:r>
        <w:rPr>
          <w:rFonts w:ascii="Times New Roman" w:cs="Times New Roman" w:eastAsia="Times New Roman" w:hAnsi="Times New Roman"/>
          <w:sz w:val="16"/>
          <w:szCs w:val="16"/>
          <w:color w:val="auto"/>
        </w:rPr>
        <w:t xml:space="preserve"> available on the platform, exclusive of all available DLC, for a period of 2 weeks in exchange for $8.0 million. During the 2 weeks the platform offered digital rights to </w:t>
      </w:r>
      <w:r>
        <w:rPr>
          <w:rFonts w:ascii="Times New Roman" w:cs="Times New Roman" w:eastAsia="Times New Roman" w:hAnsi="Times New Roman"/>
          <w:sz w:val="16"/>
          <w:szCs w:val="16"/>
          <w:i w:val="1"/>
          <w:iCs w:val="1"/>
          <w:color w:val="auto"/>
        </w:rPr>
        <w:t>ARK 1</w:t>
      </w:r>
      <w:r>
        <w:rPr>
          <w:rFonts w:ascii="Times New Roman" w:cs="Times New Roman" w:eastAsia="Times New Roman" w:hAnsi="Times New Roman"/>
          <w:sz w:val="16"/>
          <w:szCs w:val="16"/>
          <w:color w:val="auto"/>
        </w:rPr>
        <w:t xml:space="preserve"> to its end users for free. The platform launched the first free week in June of 2020 and the Company recognized $4.0 million of the advanced payment as revenue during the year ended December 31, 2020. In September 2022, the platform launched the second free week and the Company recognized the remaining $4.0 million of revenue during year ended December 31, 2022.</w:t>
      </w:r>
    </w:p>
    <w:p>
      <w:pPr>
        <w:spacing w:after="0" w:line="16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 xml:space="preserve">In July 2023, the Company entered into a distribution agreement with its retail distribution partner for the distribution of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ARK II.</w:t>
      </w:r>
      <w:r>
        <w:rPr>
          <w:rFonts w:ascii="Times New Roman" w:cs="Times New Roman" w:eastAsia="Times New Roman" w:hAnsi="Times New Roman"/>
          <w:sz w:val="16"/>
          <w:szCs w:val="16"/>
          <w:color w:val="auto"/>
        </w:rPr>
        <w:t xml:space="preserve"> The initial term is two years and will renew each subsequent year unless it is cancelled. Upon executing the distribution agreement, the Company received $0.5 million and $1.3 million as prepaid royalties that are reported as current and long-term deferred revenue until the disc release of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ARK II,</w:t>
      </w:r>
      <w:r>
        <w:rPr>
          <w:rFonts w:ascii="Times New Roman" w:cs="Times New Roman" w:eastAsia="Times New Roman" w:hAnsi="Times New Roman"/>
          <w:sz w:val="16"/>
          <w:szCs w:val="16"/>
          <w:color w:val="auto"/>
        </w:rPr>
        <w:t xml:space="preserve">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Estimated Service Period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For certain performance obligations satisfied over time, the Company has determined that the estimated service period is the time period in which an average user plays our software games (“user life”) which most faithfully depicts the timing of satisfying our performance obligation. The Company considers a variety of data points when determining and subsequently reassessing the estimated service period for players of our software games. Primarily, the Company reviews the weighted average number of days between players’ first day play online or the subscription trend. The Company also considers publicly available online trends.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Company believes this provides a reasonable depiction of the transfer of our game related services to our players, as it is the best representation of the period during which our players play our software games.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players of our current software games are generally between 30 and 100 days depending on the software games.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Shipping, Handling and Value Added Taxes (“VAT”)</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distributor, as the principal, is responsible for the shipping of the game discs to retail stores and incurring the shipping and VAT costs. The Company is paid the net sales amount after deducting shipping costs, VAT and other related expenses by the distributor.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Cost of revenues include software license royalty fees, merchant fees, server and database center costs, game localization costs, game licenses, engine fees and amortization costs.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revenues for the years ended December 31, 2023 and 2022 were comprised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 license royalties – related parties</w:t>
            </w:r>
          </w:p>
        </w:tc>
        <w:tc>
          <w:tcPr>
            <w:tcW w:w="2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14,398,482</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16,963,388</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8"/>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Software license royalties</w:t>
            </w:r>
          </w:p>
        </w:tc>
        <w:tc>
          <w:tcPr>
            <w:tcW w:w="2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1,128,517</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145,055</w:t>
            </w:r>
          </w:p>
        </w:tc>
        <w:tc>
          <w:tcPr>
            <w:tcW w:w="100" w:type="dxa"/>
            <w:vAlign w:val="bottom"/>
          </w:tcPr>
          <w:p>
            <w:pPr>
              <w:spacing w:after="0"/>
              <w:rPr>
                <w:sz w:val="16"/>
                <w:szCs w:val="16"/>
                <w:color w:val="auto"/>
              </w:rPr>
            </w:pPr>
          </w:p>
        </w:tc>
      </w:tr>
      <w:tr>
        <w:trPr>
          <w:trHeight w:val="18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 and amortization – related parties</w:t>
            </w:r>
          </w:p>
        </w:tc>
        <w:tc>
          <w:tcPr>
            <w:tcW w:w="2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20,496,961</w:t>
            </w:r>
          </w:p>
        </w:tc>
        <w:tc>
          <w:tcPr>
            <w:tcW w:w="4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25,407,002</w:t>
            </w:r>
          </w:p>
        </w:tc>
        <w:tc>
          <w:tcPr>
            <w:tcW w:w="100" w:type="dxa"/>
            <w:vAlign w:val="bottom"/>
            <w:shd w:val="clear" w:color="auto" w:fill="CCEEFF"/>
          </w:tcPr>
          <w:p>
            <w:pPr>
              <w:spacing w:after="0"/>
              <w:rPr>
                <w:sz w:val="16"/>
                <w:szCs w:val="16"/>
                <w:color w:val="auto"/>
              </w:rPr>
            </w:pPr>
          </w:p>
        </w:tc>
      </w:tr>
      <w:tr>
        <w:trPr>
          <w:trHeight w:val="188"/>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License and amortization</w:t>
            </w:r>
          </w:p>
        </w:tc>
        <w:tc>
          <w:tcPr>
            <w:tcW w:w="2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804</w:t>
            </w:r>
          </w:p>
        </w:tc>
        <w:tc>
          <w:tcPr>
            <w:tcW w:w="44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250,876</w:t>
            </w:r>
          </w:p>
        </w:tc>
        <w:tc>
          <w:tcPr>
            <w:tcW w:w="100" w:type="dxa"/>
            <w:vAlign w:val="bottom"/>
          </w:tcPr>
          <w:p>
            <w:pPr>
              <w:spacing w:after="0"/>
              <w:rPr>
                <w:sz w:val="16"/>
                <w:szCs w:val="16"/>
                <w:color w:val="auto"/>
              </w:rPr>
            </w:pPr>
          </w:p>
        </w:tc>
      </w:tr>
      <w:tr>
        <w:trPr>
          <w:trHeight w:val="18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Game localization</w:t>
            </w:r>
          </w:p>
        </w:tc>
        <w:tc>
          <w:tcPr>
            <w:tcW w:w="2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CEEFF"/>
          </w:tcPr>
          <w:p>
            <w:pPr>
              <w:spacing w:after="0"/>
              <w:rPr>
                <w:sz w:val="16"/>
                <w:szCs w:val="16"/>
                <w:color w:val="auto"/>
              </w:rPr>
            </w:pPr>
          </w:p>
        </w:tc>
      </w:tr>
      <w:tr>
        <w:trPr>
          <w:trHeight w:val="188"/>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Merchant fees</w:t>
            </w:r>
          </w:p>
        </w:tc>
        <w:tc>
          <w:tcPr>
            <w:tcW w:w="2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1,369,595</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2,424,832</w:t>
            </w:r>
          </w:p>
        </w:tc>
        <w:tc>
          <w:tcPr>
            <w:tcW w:w="100" w:type="dxa"/>
            <w:vAlign w:val="bottom"/>
          </w:tcPr>
          <w:p>
            <w:pPr>
              <w:spacing w:after="0"/>
              <w:rPr>
                <w:sz w:val="16"/>
                <w:szCs w:val="16"/>
                <w:color w:val="auto"/>
              </w:rPr>
            </w:pPr>
          </w:p>
        </w:tc>
      </w:tr>
      <w:tr>
        <w:trPr>
          <w:trHeight w:val="18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Engine fees</w:t>
            </w:r>
          </w:p>
        </w:tc>
        <w:tc>
          <w:tcPr>
            <w:tcW w:w="2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4,301,104</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1,972,126</w:t>
            </w:r>
          </w:p>
        </w:tc>
        <w:tc>
          <w:tcPr>
            <w:tcW w:w="100" w:type="dxa"/>
            <w:vAlign w:val="bottom"/>
            <w:shd w:val="clear" w:color="auto" w:fill="CCEEFF"/>
          </w:tcPr>
          <w:p>
            <w:pPr>
              <w:spacing w:after="0"/>
              <w:rPr>
                <w:sz w:val="16"/>
                <w:szCs w:val="16"/>
                <w:color w:val="auto"/>
              </w:rPr>
            </w:pPr>
          </w:p>
        </w:tc>
      </w:tr>
      <w:tr>
        <w:trPr>
          <w:trHeight w:val="188"/>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Internet, server and data center</w:t>
            </w:r>
          </w:p>
        </w:tc>
        <w:tc>
          <w:tcPr>
            <w:tcW w:w="2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6,487,340</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5,792,967</w:t>
            </w:r>
          </w:p>
        </w:tc>
        <w:tc>
          <w:tcPr>
            <w:tcW w:w="100" w:type="dxa"/>
            <w:vAlign w:val="bottom"/>
          </w:tcPr>
          <w:p>
            <w:pPr>
              <w:spacing w:after="0"/>
              <w:rPr>
                <w:sz w:val="16"/>
                <w:szCs w:val="16"/>
                <w:color w:val="auto"/>
              </w:rPr>
            </w:pPr>
          </w:p>
        </w:tc>
      </w:tr>
      <w:tr>
        <w:trPr>
          <w:trHeight w:val="22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related to advertising revenue</w:t>
            </w:r>
          </w:p>
        </w:tc>
        <w:tc>
          <w:tcPr>
            <w:tcW w:w="2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123,600</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164,590</w:t>
            </w:r>
          </w:p>
        </w:tc>
        <w:tc>
          <w:tcPr>
            <w:tcW w:w="100" w:type="dxa"/>
            <w:vAlign w:val="bottom"/>
            <w:shd w:val="clear" w:color="auto" w:fill="CCEEFF"/>
          </w:tcPr>
          <w:p>
            <w:pPr>
              <w:spacing w:after="0"/>
              <w:rPr>
                <w:sz w:val="19"/>
                <w:szCs w:val="19"/>
                <w:color w:val="auto"/>
              </w:rPr>
            </w:pPr>
          </w:p>
        </w:tc>
      </w:tr>
      <w:tr>
        <w:trPr>
          <w:trHeight w:val="183"/>
        </w:trPr>
        <w:tc>
          <w:tcPr>
            <w:tcW w:w="4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2160" w:type="dxa"/>
            <w:vAlign w:val="bottom"/>
            <w:tcBorders>
              <w:top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48,306,403</w:t>
            </w:r>
          </w:p>
        </w:tc>
        <w:tc>
          <w:tcPr>
            <w:tcW w:w="32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53,121,676</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4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Costs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General and administrative costs include rent, salaries, stock-based compensation, legal and professional expenses, administrative internet and server, contractor costs, insurance expense, licenses and permits, other taxes and travel expenses. These costs are expensed as they are incurred. For the years ended December 31, 2023 and 2022, general and administrative expenses totaled $15,816,088 and $18,713,958, respectively. Stock-based compensation of $799,955 and $223,250 was incurred during the years ended December 31, 2023 and 2022,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Advertising and Marketing Costs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 expenses advertising and marketing costs as incurred. For the years ended December 31, 2023 and 2022, advertising and marketing expenses totaled $1,582,464 and $714,492,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Research and development costs are expensed as incurred. Research and development costs include travel, payroll, and other general expenses specific to research and development activities. Research and development costs for the years ended December 31, 2023 and 2022 were $5,057,421 and $2,955,592, respectively. Stock-based compensation of $48,080 was incurred during the year ended December 31, 2023; no stock-based compensation was incurred in the year ended December 31,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Interests</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Non-controlling interests on the consolidated balance sheets and consolidated statements of operations and comprehensive income (loss) include the equity allocated to non-controlling interest holders. As of December 31, 2023 and 2022, there were non-controlling interests with the following subsidiaries: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Subsidiary Name</w:t>
            </w:r>
          </w:p>
        </w:tc>
        <w:tc>
          <w:tcPr>
            <w:tcW w:w="32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Equity % Owned</w:t>
            </w:r>
          </w:p>
        </w:tc>
        <w:tc>
          <w:tcPr>
            <w:tcW w:w="36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Non-Controlling %</w:t>
            </w:r>
          </w:p>
        </w:tc>
        <w:tc>
          <w:tcPr>
            <w:tcW w:w="140" w:type="dxa"/>
            <w:vAlign w:val="bottom"/>
            <w:tcBorders>
              <w:bottom w:val="single" w:sz="8" w:color="CCEEFF"/>
            </w:tcBorders>
          </w:tcPr>
          <w:p>
            <w:pPr>
              <w:spacing w:after="0"/>
              <w:rPr>
                <w:sz w:val="18"/>
                <w:szCs w:val="18"/>
                <w:color w:val="auto"/>
              </w:rPr>
            </w:pPr>
          </w:p>
        </w:tc>
      </w:tr>
      <w:tr>
        <w:trPr>
          <w:trHeight w:val="18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Snail Innovative Institute</w:t>
            </w:r>
          </w:p>
        </w:tc>
        <w:tc>
          <w:tcPr>
            <w:tcW w:w="3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BTBX.IO, LLC</w:t>
            </w:r>
          </w:p>
        </w:tc>
        <w:tc>
          <w:tcPr>
            <w:tcW w:w="56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70%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r>
      <w:tr>
        <w:trPr>
          <w:trHeight w:val="18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Donkey Crew, LLC</w:t>
            </w:r>
          </w:p>
        </w:tc>
        <w:tc>
          <w:tcPr>
            <w:tcW w:w="56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r>
      <w:tr>
        <w:trPr>
          <w:trHeight w:val="380"/>
        </w:trPr>
        <w:tc>
          <w:tcPr>
            <w:tcW w:w="35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4"/>
          </w:tcPr>
          <w:p>
            <w:pPr>
              <w:jc w:val="right"/>
              <w:ind w:right="3420"/>
              <w:spacing w:after="0"/>
              <w:rPr>
                <w:sz w:val="20"/>
                <w:szCs w:val="20"/>
                <w:color w:val="auto"/>
              </w:rPr>
            </w:pPr>
            <w:r>
              <w:rPr>
                <w:rFonts w:ascii="Times New Roman" w:cs="Times New Roman" w:eastAsia="Times New Roman" w:hAnsi="Times New Roman"/>
                <w:sz w:val="16"/>
                <w:szCs w:val="16"/>
                <w:color w:val="auto"/>
              </w:rPr>
              <w:t>F-12</w:t>
            </w:r>
          </w:p>
        </w:tc>
        <w:tc>
          <w:tcPr>
            <w:tcW w:w="1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7"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 and Restricted Cash and Cash Equivalents</w:t>
      </w:r>
    </w:p>
    <w:p>
      <w:pPr>
        <w:spacing w:after="0" w:line="19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Cash is available for use in current operations or other activities such as capital expenditures and business combinations. Restricted cash and cash equivalents are time deposits, that are currently provided as a standby letter of credit to landlords. The Company’s policy for determining whether an item is treated as cash, or a cash equivalent, is based on its original maturity, liquidity, and risk profile. Investments with maturities of three months or less, are highly liquid and have insignificant risk are considered to be cash equivalents.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Escrow Deposits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Our restricted deposits held in escrow are to provide a source of funding for certain indemnification obligations of Snail, Inc. to our underwriters in connection with our IPO. The deposit and related interest earnings were restricted for one year from the IPO date and were released from restrictions in November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w:t>
      </w:r>
    </w:p>
    <w:p>
      <w:pPr>
        <w:spacing w:after="0" w:line="1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 During the year ended December 31, 2023, the Company’s allowance for credit losses increased from $19,929 to $523,500 due to an increase in credit risk of one of the Company’s platform partners as a result of continued delays in payments. There was an additional $77,928 recognized as credit losses due to the bankruptcy of the Company’s related party, INDIEV, Inc. (“INDIEV”) during the year ended December 31, 2023. There were no credit losses recognized in the year ended December 31,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Plant and Equipment, Net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plant and equipment, net, are stated at cost. Depreciation is calculated using the straight-line method over the following useful lives:</w:t>
      </w:r>
    </w:p>
    <w:p>
      <w:pPr>
        <w:spacing w:after="0" w:line="209" w:lineRule="exact"/>
        <w:rPr>
          <w:sz w:val="20"/>
          <w:szCs w:val="20"/>
          <w:color w:val="auto"/>
        </w:rPr>
      </w:pPr>
    </w:p>
    <w:tbl>
      <w:tblPr>
        <w:tblLayout w:type="fixed"/>
        <w:tblInd w:w="840" w:type="dxa"/>
        <w:tblCellMar>
          <w:top w:w="0" w:type="dxa"/>
          <w:left w:w="0" w:type="dxa"/>
          <w:bottom w:w="0" w:type="dxa"/>
          <w:right w:w="0" w:type="dxa"/>
        </w:tblCellMar>
      </w:tblPr>
      <w:tr>
        <w:trPr>
          <w:trHeight w:val="18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w:t>
            </w:r>
          </w:p>
        </w:tc>
        <w:tc>
          <w:tcPr>
            <w:tcW w:w="6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39 years</w:t>
            </w: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Building improvements</w:t>
            </w:r>
          </w:p>
        </w:tc>
        <w:tc>
          <w:tcPr>
            <w:tcW w:w="60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7 years</w:t>
            </w:r>
          </w:p>
        </w:tc>
      </w:tr>
      <w:tr>
        <w:trPr>
          <w:trHeight w:val="172"/>
        </w:trPr>
        <w:tc>
          <w:tcPr>
            <w:tcW w:w="35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Leasehold improvements</w:t>
            </w:r>
          </w:p>
        </w:tc>
        <w:tc>
          <w:tcPr>
            <w:tcW w:w="6020" w:type="dxa"/>
            <w:vAlign w:val="bottom"/>
            <w:shd w:val="clear" w:color="auto" w:fill="CCEEFF"/>
          </w:tcPr>
          <w:p>
            <w:pPr>
              <w:ind w:left="1340"/>
              <w:spacing w:after="0" w:line="171" w:lineRule="exact"/>
              <w:rPr>
                <w:sz w:val="20"/>
                <w:szCs w:val="20"/>
                <w:color w:val="auto"/>
              </w:rPr>
            </w:pPr>
            <w:r>
              <w:rPr>
                <w:rFonts w:ascii="Times New Roman" w:cs="Times New Roman" w:eastAsia="Times New Roman" w:hAnsi="Times New Roman"/>
                <w:sz w:val="16"/>
                <w:szCs w:val="16"/>
                <w:color w:val="auto"/>
                <w:w w:val="97"/>
              </w:rPr>
              <w:t>Lesser of the lease term or the estimated useful lives of the improvements,</w:t>
            </w:r>
          </w:p>
        </w:tc>
      </w:tr>
      <w:tr>
        <w:trPr>
          <w:trHeight w:val="205"/>
        </w:trPr>
        <w:tc>
          <w:tcPr>
            <w:tcW w:w="3540" w:type="dxa"/>
            <w:vAlign w:val="bottom"/>
            <w:shd w:val="clear" w:color="auto" w:fill="CCEEFF"/>
          </w:tcPr>
          <w:p>
            <w:pPr>
              <w:spacing w:after="0"/>
              <w:rPr>
                <w:sz w:val="17"/>
                <w:szCs w:val="17"/>
                <w:color w:val="auto"/>
              </w:rPr>
            </w:pPr>
          </w:p>
        </w:tc>
        <w:tc>
          <w:tcPr>
            <w:tcW w:w="6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generally 5 to 15 years</w:t>
            </w: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60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3 to 5 years</w:t>
            </w:r>
          </w:p>
        </w:tc>
      </w:tr>
      <w:tr>
        <w:trPr>
          <w:trHeight w:val="18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6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3 years</w:t>
            </w:r>
          </w:p>
        </w:tc>
      </w:tr>
      <w:tr>
        <w:trPr>
          <w:trHeight w:val="204"/>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Auto and trucks</w:t>
            </w:r>
          </w:p>
        </w:tc>
        <w:tc>
          <w:tcPr>
            <w:tcW w:w="60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5 years</w:t>
            </w:r>
          </w:p>
        </w:tc>
      </w:tr>
    </w:tbl>
    <w:p>
      <w:pPr>
        <w:spacing w:after="0" w:line="1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When assets are retired or disposed of, the cost and accumulated depreciation thereon are removed, and any resulting gains or losses are included in the consolidated statements of operations and comprehensive income (loss). Leasehold improvements are amortized using the straight-line method over the estimated life of the asset, not to exceed the length of the lease. Repairs and maintenance costs are expensed as incurred.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w:t>
      </w:r>
    </w:p>
    <w:p>
      <w:pPr>
        <w:spacing w:after="0" w:line="19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functional currency for our foreign operations is primarily the applicable local currency. Accounts of foreign operations are translated into U.S. dollars using exchange rates for assets and liabilities at the balance sheet date and average prevailing exchange rates for the period for revenue and expense accounts. Adjustments resulting from the translation are included in accumulated other comprehensive loss. Realized and unrealized transaction gains and losses arising from transactions denominated in foreign currencies different than the relevant functional currency are included in our consolidated statements of operations and comprehensive income (loss) in the period in which they occur.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 – License Usage Rights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Company enters into license agreements with third-party developers and related party developers that require the Company to make payments for license usage rights and game development and production services. These license agreements grant the Company the exclusive publishing and distribution rights to game titles as well as, in some cases, the underlying intellectual property rights. These license agreements also specify the payment schedules, royalty rates and the relevant licensing period. The Company capitalizes the cost of license usage rights as intangible assets and amortizes them over the terms of the respective licensing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Company follows Financial Accounting Standards Board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following describes the hierarchy of inputs used to measure fair value and the primary valuation methodologies used by the Company for financial instruments measured at fair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three levels of inputs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w w:val="85"/>
              </w:rPr>
              <w:t>Level 1</w:t>
            </w:r>
            <w:r>
              <w:rPr>
                <w:rFonts w:ascii="Times New Roman" w:cs="Times New Roman" w:eastAsia="Times New Roman" w:hAnsi="Times New Roman"/>
                <w:sz w:val="16"/>
                <w:szCs w:val="16"/>
                <w:color w:val="auto"/>
                <w:w w:val="85"/>
              </w:rPr>
              <w:t>: </w:t>
            </w:r>
          </w:p>
        </w:tc>
        <w:tc>
          <w:tcPr>
            <w:tcW w:w="10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Quoted prices in active markets for identical assets or liabilities that the Company has an ability to access as of the measurement date.</w:t>
            </w:r>
          </w:p>
        </w:tc>
      </w:tr>
      <w:tr>
        <w:trPr>
          <w:trHeight w:val="361"/>
        </w:trPr>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w w:val="85"/>
              </w:rPr>
              <w:t>Level 2</w:t>
            </w:r>
            <w:r>
              <w:rPr>
                <w:rFonts w:ascii="Times New Roman" w:cs="Times New Roman" w:eastAsia="Times New Roman" w:hAnsi="Times New Roman"/>
                <w:sz w:val="16"/>
                <w:szCs w:val="16"/>
                <w:color w:val="auto"/>
                <w:w w:val="85"/>
              </w:rPr>
              <w:t>: </w:t>
            </w:r>
          </w:p>
        </w:tc>
        <w:tc>
          <w:tcPr>
            <w:tcW w:w="100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Inputs that are observable, either directly or indirectly, such as quoted prices for similar assets or liabilities, quoted prices in markets that are not active, or other</w:t>
            </w:r>
          </w:p>
        </w:tc>
      </w:tr>
      <w:tr>
        <w:trPr>
          <w:trHeight w:val="204"/>
        </w:trPr>
        <w:tc>
          <w:tcPr>
            <w:tcW w:w="460" w:type="dxa"/>
            <w:vAlign w:val="bottom"/>
          </w:tcPr>
          <w:p>
            <w:pPr>
              <w:spacing w:after="0"/>
              <w:rPr>
                <w:sz w:val="17"/>
                <w:szCs w:val="17"/>
                <w:color w:val="auto"/>
              </w:rPr>
            </w:pPr>
          </w:p>
        </w:tc>
        <w:tc>
          <w:tcPr>
            <w:tcW w:w="10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inputs that are observable or can be corroborated by observable market data for substantially the same term of the assets or liabilities.</w:t>
            </w:r>
          </w:p>
        </w:tc>
      </w:tr>
      <w:tr>
        <w:trPr>
          <w:trHeight w:val="376"/>
        </w:trPr>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w w:val="85"/>
              </w:rPr>
              <w:t>Level 3</w:t>
            </w:r>
            <w:r>
              <w:rPr>
                <w:rFonts w:ascii="Times New Roman" w:cs="Times New Roman" w:eastAsia="Times New Roman" w:hAnsi="Times New Roman"/>
                <w:sz w:val="16"/>
                <w:szCs w:val="16"/>
                <w:color w:val="auto"/>
                <w:w w:val="85"/>
              </w:rPr>
              <w:t>: </w:t>
            </w:r>
          </w:p>
        </w:tc>
        <w:tc>
          <w:tcPr>
            <w:tcW w:w="10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Unobservable inputs that are supported by little or no market activity and that are significant to the fair value of the assets or liabilities.</w:t>
            </w:r>
          </w:p>
        </w:tc>
      </w:tr>
      <w:tr>
        <w:trPr>
          <w:trHeight w:val="381"/>
        </w:trPr>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ind w:left="4300"/>
              <w:spacing w:after="0"/>
              <w:rPr>
                <w:sz w:val="20"/>
                <w:szCs w:val="20"/>
                <w:color w:val="auto"/>
              </w:rPr>
            </w:pPr>
            <w:r>
              <w:rPr>
                <w:rFonts w:ascii="Times New Roman" w:cs="Times New Roman" w:eastAsia="Times New Roman" w:hAnsi="Times New Roman"/>
                <w:sz w:val="16"/>
                <w:szCs w:val="16"/>
                <w:color w:val="auto"/>
              </w:rPr>
              <w:t>F-13</w:t>
            </w:r>
          </w:p>
        </w:tc>
      </w:tr>
    </w:tbl>
    <w:p>
      <w:pPr>
        <w:sectPr>
          <w:pgSz w:w="11900" w:h="16838" w:orient="portrait"/>
          <w:cols w:equalWidth="0" w:num="1">
            <w:col w:w="11260"/>
          </w:cols>
          <w:pgMar w:left="320" w:top="497" w:right="319" w:bottom="125"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derivative instruments, short-term loans, accounts receivable and accounts payable. The carrying values of these financial instruments approximate their fair value due to their short maturities. The carrying amount of our debt approximates fair value because the interest rates on these instruments approximate the interest rate on debt with similar terms available to us for a similar duration except for the Company’s promissory note which has a fixed rate for 5 years, then a floating rate that approximates the Wall Street Journal Prime Rate plus 0.50%. The Company considers the carrying amount of the loan to approximate fair value as the discounted cost in comparison to market rates would not be materially different than the cost to acquire a loan with similar terms. The Company’s convertible notes, warrant liability and derivative instruments are valued at fair value, using level 3 inputs and the Monte-Carlo pricing model. The most significant of the inputs are the stock price, exercise price, contractual term, volatility, and the risk-free rate. Our building is valued at fair value using level 2 inputs for purposes of securing our debt; the buildings carrying value is based on cost and straight-line depreciation. The Company does not have any other assets or liabilities measured at fair value on a recurring or non-recurring basis as of December 31, 2023 and December 31,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Amortizable Intangibles and Other Long-lived Assets</w:t>
      </w:r>
    </w:p>
    <w:p>
      <w:pPr>
        <w:spacing w:after="0" w:line="1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Company’s long-lived assets and other assets consisting of property, plant and equipment and purchased intangible assets, are reviewed for impairment in accordance with the guidance of FASB Topic ASC 360, Property, Plant,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Income taxes are provided for the tax effects of transactions reported in the consolidated financial statements and consisted of taxes currently due and deferred taxes. Deferred taxes are recognized for the differences between the basis of assets and liabilities for financial statement and income tax purposes.</w:t>
      </w:r>
    </w:p>
    <w:p>
      <w:pPr>
        <w:spacing w:after="0" w:line="15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Company follows FASB Topic ASC 740, Income Taxes, which requires the recognition of deferred tax assets and liabilities for the expected future tax consequences of events that have been included in the consolidated financial statements or tax returns.</w:t>
      </w:r>
    </w:p>
    <w:p>
      <w:pPr>
        <w:spacing w:after="0" w:line="15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 Company recognizes liabilities for uncertain tax positions pursuant to FASB ASC 740-10-25. Such amounts are included in the long-term accrued expenses on the accompanying consolidated balance sheets in the amount of $254,731 and $457,024 as of December 31, 2023 and 2022, respectively. The Company accrues and recognizes interest and penalties related to unrecognized tax benefits in operating expenses.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 and Significant Customers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Company maintains cash balances at several major financial institutions. While the Company attempts to limit credit exposure with any single institution, balances often exceed insurable amounts. As of December 31, 2023 and 2022, the Company had deposits of $14,716,652 and $17,929,308, respectively, that were not insured by the Federal Deposit Insurance Corporation and are included in the cash and cash equivalents, restricted escrow deposit and restricted cash and cash equivalents, in the accompanying consolidated balance sheets.</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 extends credit to various digital resellers and partners. Collection of trade receivables may be affected by changes in economic or other industry conditions and may, accordingly, impact our overall credit risk. The Company does not require collateral or other security to support financial instruments subject to credit risk. The Company performs ongoing credit evaluations of customers and maintains reserves for potentially uncollectible accounts. The Company had four customers as of December 31, 2023, and two customers as of December 31, 2022, who accounted for approximately 95% and 57% of consolidated gross receivables, respectively. Among the four customers as of December 31, 2023, and two customers as of December 31, 2022, each customer accounted for 43%, 20%, 16% and 16% as of December 31, 2023, and 29% and 28% as of December 31, 2022 of the consolidated gross receivables outstanding. During the years ended December 31, 2023 and 2022, approximately 80% and 54%, respectively, of net revenue was derived from these customers. The Company had three customers in the year ended December 31, 2023, and three customers in the year ended December 31, 2022, that accounted for 42%, 18%, and 11%, and 30%, 23% and 12% of the Company’s net revenue, respectively. The loss of these customers or declines in the forecasts of their accounts receivable collectability would have a significant impact on the Company’s financial performance.</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As of December 31, 2023 and 2022, the Company had one vendor who accounted for approximately 69% and two vendors who accounted for approximately 43% and 12% of consolidated gross payables, respectively. The loss of these vendors could have a significant impact on the Company’s financial performance and regulatory compliance.</w:t>
      </w:r>
    </w:p>
    <w:p>
      <w:pPr>
        <w:spacing w:after="0" w:line="15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The Company had one vendor, SDE, a related party, that accounted for 51% and 47% of the Company’s combined cost of revenues and operating expenses during the years ended December 31, 2023 and 2022, respectively. Amounts payable to SDE are included in accounts payable - related parties in the consolidated balance sheets as of December 31, 2023 and 2022. The loss of SDE as a vendor would significantly and adversely affect the Company’s core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Company has a lease relating primarily to office facilities. The Company determines if an arrangement is or contains a lease at contract inception. Right-of-use assets represent the Company’s right to use an underlying asset for the lease term, and lease liabilities represent the Company’s obligation to make lease payments arising from the lease. The lease liability is measured as the present value of the unpaid lease payments, and the right-of-use asset value is derived from the calculation of the lease liability. Lease payments include fixed and in-substance fixed payments, variable payments based on an index or rate, variable payments based on the level of services provided by the landlords of our leases, reasonably certain purchase options, and termination penalties. Variable lease payments related to the services provided by the landlords are non-lease components that are recognized as rent expenses as incurred. For leased assets with similar lease terms and asset types, the Company applied a portfolio approach in determining a single incremental borrowing rate for the leased assets. The Company uses its estimated incremental borrowing rate, which is derived from information available at the lease commencement date, in determining the present value of lease payments because the Company does not have the information necessary to determine the rate implicit in the lease. Lease expense for operating lease payments is recognized on a straight-line basis over the lease term. The Company’s lease term includes any option to extend the lease when it is reasonably certain to be exercised based on considering all relevant factors. Leases with an initial term of 12 months or less are not recorded on the consolidated balance sheets and the Company recognizes lease expense for these leases on a straight-line basis over the lease term. Operating leases are included in operating lease right-of-use assets, net, current portion of operating lease liabilities, and operating lease liabilities, net of current portion on the consolidated balance sheets.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In June 2016, the FASB issued ASU 2016-13, </w:t>
      </w:r>
      <w:r>
        <w:rPr>
          <w:rFonts w:ascii="Times New Roman" w:cs="Times New Roman" w:eastAsia="Times New Roman" w:hAnsi="Times New Roman"/>
          <w:sz w:val="15"/>
          <w:szCs w:val="15"/>
          <w:i w:val="1"/>
          <w:iCs w:val="1"/>
          <w:color w:val="auto"/>
        </w:rPr>
        <w:t>Financial Instruments – Credit Losses</w:t>
      </w:r>
      <w:r>
        <w:rPr>
          <w:rFonts w:ascii="Times New Roman" w:cs="Times New Roman" w:eastAsia="Times New Roman" w:hAnsi="Times New Roman"/>
          <w:sz w:val="15"/>
          <w:szCs w:val="15"/>
          <w:color w:val="auto"/>
        </w:rPr>
        <w:t>, which replaces the incurred loss impairment methodology in current US GAAP with a methodology that requires the reflection of expected credit losses and also requires consideration of a broader range of reasonable and supportable information to determine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For most financial instruments, the standard requires the use of a forward-looking expected loss model rather than the incurred loss model for recognizing credit losses, which generally results in the earlier recognition of credit losses on financial instruments. The Company adopted ASU 2016-13 on January 1, 2023. Adopting the new standard did not have a material impact on the Company’s consolidated financial statements.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 xml:space="preserve">In August 2020, the FASB issued ASU 2020-06, </w:t>
      </w:r>
      <w:r>
        <w:rPr>
          <w:rFonts w:ascii="Times New Roman" w:cs="Times New Roman" w:eastAsia="Times New Roman" w:hAnsi="Times New Roman"/>
          <w:sz w:val="16"/>
          <w:szCs w:val="16"/>
          <w:i w:val="1"/>
          <w:iCs w:val="1"/>
          <w:color w:val="auto"/>
        </w:rPr>
        <w:t>Contracts in Entity’s Own Equity (Subtopic 815-40) – Accounting for Convertible Instruments and Contracts in an Entity’s Own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Equity</w:t>
      </w:r>
      <w:r>
        <w:rPr>
          <w:rFonts w:ascii="Times New Roman" w:cs="Times New Roman" w:eastAsia="Times New Roman" w:hAnsi="Times New Roman"/>
          <w:sz w:val="16"/>
          <w:szCs w:val="16"/>
          <w:color w:val="auto"/>
        </w:rPr>
        <w:t>, to simplify the application of GAAP for certain financial instruments with characteristics of liabilities and equity. The FASB decided to eliminate certain accounting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models to simplify the accounting for convertible instruments, reduce complexity for preparers and practitioners, and improve the decision usefulness and relevance of the information provided to financial statement users. The FASB also amended the guidance for derivatives scope exception for contracts in an entity’s own equity to reduce form-over-substance-based accounting conclusion and amended the related earnings per share guidance. The Company has elected to delay implementation of this standard until January 1, 2024 based on its emerging growth status. The Company is evaluating the impact of adopting the new standard.</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 xml:space="preserve">In October 2023, the FASB issued ASU 2023-06, </w:t>
      </w:r>
      <w:r>
        <w:rPr>
          <w:rFonts w:ascii="Times New Roman" w:cs="Times New Roman" w:eastAsia="Times New Roman" w:hAnsi="Times New Roman"/>
          <w:sz w:val="16"/>
          <w:szCs w:val="16"/>
          <w:i w:val="1"/>
          <w:iCs w:val="1"/>
          <w:color w:val="auto"/>
        </w:rPr>
        <w:t>Codification Amendments in Response to the SEC’s Disclosure Update and Simplification Initiative,</w:t>
      </w:r>
      <w:r>
        <w:rPr>
          <w:rFonts w:ascii="Times New Roman" w:cs="Times New Roman" w:eastAsia="Times New Roman" w:hAnsi="Times New Roman"/>
          <w:sz w:val="16"/>
          <w:szCs w:val="16"/>
          <w:color w:val="auto"/>
        </w:rPr>
        <w:t xml:space="preserve"> to clarify or improve disclosure and presentation requirements of a variety of topics. Certain of the amendments represent clarifications to or technical corrections of the current requirements. Many of the amendments allow users to more easily compare entities subject to the SEC’s existing disclosures with those entities that were not previously subject to the SEC’s requirements. ASU 2023-06 is effective for companies subject to the SEC’s disclosure requirements. The effective date for each amendment will be the date on which the SEC’s removal of that related disclosure from Regulation S-X or Regulation S-K becomes effected. For all other entities the amendments will be effective two years. The Company is evaluating the impact of adopting the new standard.</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Improvements to Reportable Segment Disclosure (Topic 280),</w:t>
      </w:r>
      <w:r>
        <w:rPr>
          <w:rFonts w:ascii="Times New Roman" w:cs="Times New Roman" w:eastAsia="Times New Roman" w:hAnsi="Times New Roman"/>
          <w:sz w:val="16"/>
          <w:szCs w:val="16"/>
          <w:color w:val="auto"/>
        </w:rPr>
        <w:t xml:space="preserve"> to improve financial reporting by requiring disclosure of incremental segment information on an annual and interim basis for all public entities. The update does not change how a public entity identifies its operating segments, aggregates those operating segments, or applied the quantitative thresholds to determine its reportable segments. The amendments in this update are effective for fiscal years beginning after December 15, 2023, and interim periods beginning after December 15, 2024. The Company is evaluating the impact of adopting the new standard.</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to improve the transparency of income tax disclosures requiring consistent categories and greater disaggregation of information in the rate reconciliation and income taxes paid disaggregated by jurisdiction. The amendments in the update requires that public business entities, on an annual basis, disclose specific categories in the rate reconciliation and provide additional information for reconciling items that meet a quantitative threshold. The amendments in this update are effective for annual periods beginning after December 15, 2024. The Company is evaluating the impact of adopting the new standard.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 Savings Plans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 maintains a 401(k) for its United States based employees. The plan is offered to all eligible employees to make voluntary contributions. Employer contributions to the plan are reported under general and administrative costs in the amounts of $88,756 and $65,908 for the years ended December 31, 2023 and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issued restricted stock units (“Restricted Stock Units” or “restricted stock units”) during the years ended December 31, 2023, and 2022. The fair value of Restricted Stock Units is determined based on the quoted market price of our common stock on the date of grant.</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5,718,000 shares, (b) 1% of the shares of the Company’s Class B common stock outstanding (on a fully diluted basis) on the final day of the immediately preceding calendar year or (c) such smaller number of shares as determined by the Company’s board of directors. As of December 31, 2023, there were 4,485,275 shares reserved for issuance under the 2022 Plan.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Company granted restricted stock units under our 2022 Omnibus Incentive Plan to employees and directors.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 For the years ended December 31, 2023 and 2022, stock-based compensations expenses amounted to $848,035 and $223,250,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connection with the IPO, offering costs related to legal, accounting, and underwriting costs were net with the proceeds and recorded as a reduction in additional paid in capital, in the stockholders’ equity section of the consolidated balance sheets. The Company also issued Underwriters Warrants (as defined below) for services provided during the IPO to purchase 120,000 shares of Class A common stock. The Underwriters Warrants are accounted for as equity instruments and are included in the stockholders’ equity section of the consolidated balance sheets. The fair value of the Underwriters Warrants has been estimated using the Black-Scholes option pricing model.</w:t>
      </w:r>
    </w:p>
    <w:p>
      <w:pPr>
        <w:spacing w:after="0" w:line="16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 xml:space="preserve">On August 24, 2023, the Company issued warrants in connection with its convertible debt for the purchase of 714,285 shares (the “Convertible Note Warrants”). The Convertible Note Warrants are accounted for as a liability and are included in the accrued expenses and other liabilities in the consolidated balance sheets. The fair value of the Convertible Note Warrants has been estimated using the Monte-Carlo pricing model. For more information regarding convertible notes and related warrants see Note 20 - </w:t>
      </w:r>
      <w:r>
        <w:rPr>
          <w:rFonts w:ascii="Times New Roman" w:cs="Times New Roman" w:eastAsia="Times New Roman" w:hAnsi="Times New Roman"/>
          <w:sz w:val="15"/>
          <w:szCs w:val="15"/>
          <w:i w:val="1"/>
          <w:iCs w:val="1"/>
          <w:color w:val="auto"/>
        </w:rPr>
        <w:t>Equity</w:t>
      </w:r>
      <w:r>
        <w:rPr>
          <w:rFonts w:ascii="Times New Roman" w:cs="Times New Roman" w:eastAsia="Times New Roman" w:hAnsi="Times New Roman"/>
          <w:sz w:val="15"/>
          <w:szCs w:val="15"/>
          <w:color w:val="auto"/>
        </w:rPr>
        <w:t>.</w:t>
      </w:r>
    </w:p>
    <w:p>
      <w:pPr>
        <w:spacing w:after="0" w:line="1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On August 24, 2023, the Company issued a warrant to an investor (the “Equity Line Warrant”) for the purchase of 367,647 shares of Class A common stock in consideration of the investor’s commitment to purchase Class A common stock. The fair value of the Equity Line Warrant is recorded as a warrant liability and is included in the accrued expenses and other liabilities in the Company’s consolidated balance sheets. The fair value of the Equity Line Warrants has been estimated using the Monte-Carlo pricing model using level 3 inputs. The most significant of the inputs used are the underlying stock price, the exercise price, the contractual term, volatility and the risk-free rate. For more information regarding equity line and related warrants see Note 20 – </w:t>
      </w:r>
      <w:r>
        <w:rPr>
          <w:rFonts w:ascii="Times New Roman" w:cs="Times New Roman" w:eastAsia="Times New Roman" w:hAnsi="Times New Roman"/>
          <w:sz w:val="16"/>
          <w:szCs w:val="16"/>
          <w:i w:val="1"/>
          <w:iCs w:val="1"/>
          <w:color w:val="auto"/>
        </w:rPr>
        <w:t>Equity.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On November 10, 2022, the Company’s board of directors authorized a share repurchase program under which the Company may repurchase up to $5 million of outstanding shares of Class A common stock of the Company, subject to ongoing compliance with the Nasdaq listing rules. The program does not have a fixed expiration date. Repurchased shares are accounted for at cost and reported as a reduction of equity in the consolidated balance sheets under treasury stock. No treasury stock was sold during the years ended December 31, 2023 and 2022. As of December 31,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Earnings (Loss) Per Share</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Earnings (loss) per share (“EPS”) is calculated by dividing the net income (loss) that is applicable to the common stockholders for the period by the weighted average number of shares of common stock during that period. The diluted EPS for the period is calculated by dividing the net income (loss) applicable to common stockholders for the period by the weighted average number of shares of common stock and common stock equivalents outstanding during the period. The Company’s common stock equivalents are measured using the treasury stock method and represent unvested restricted stock units and warrants. The Company issues two classes of common stock with differing voting rights, and as such, reports EPS using the dual class method. For comparative purposes, the Company has presented EPS for the year ended December 31, 2022 assuming the number of shares exchanged in the reorganization and issued in the IPO of the Company were outstanding at the start of the year. For more information see Note 19 – </w:t>
      </w:r>
      <w:r>
        <w:rPr>
          <w:rFonts w:ascii="Times New Roman" w:cs="Times New Roman" w:eastAsia="Times New Roman" w:hAnsi="Times New Roman"/>
          <w:sz w:val="15"/>
          <w:szCs w:val="15"/>
          <w:i w:val="1"/>
          <w:iCs w:val="1"/>
          <w:color w:val="auto"/>
        </w:rPr>
        <w:t>Earnings (Loss) Per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 Restrictions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ability to pay cash dividends is currently restricted by the terms of our credit facilities.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REVENUE FROM CONTRACTS WITH CUSTOMERS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Disaggregation of revenue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Timing of recognition</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 recognizes revenue at a point in time for performance obligations that are met at the time of sale or over a period based on the estimated service period of the product, additional performance obligations, or timing of releases. Net revenue by timing of recognition during the years ended December 31, 2023 and 2022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188"/>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 time</w:t>
            </w:r>
          </w:p>
        </w:tc>
        <w:tc>
          <w:tcPr>
            <w:tcW w:w="19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6,437,618</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4"/>
              </w:rPr>
              <w:t>18,832,396</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Point in time</w:t>
            </w:r>
          </w:p>
        </w:tc>
        <w:tc>
          <w:tcPr>
            <w:tcW w:w="1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54,464,480</w:t>
            </w:r>
          </w:p>
        </w:tc>
        <w:tc>
          <w:tcPr>
            <w:tcW w:w="440" w:type="dxa"/>
            <w:vAlign w:val="bottom"/>
          </w:tcPr>
          <w:p>
            <w:pPr>
              <w:spacing w:after="0"/>
              <w:rPr>
                <w:sz w:val="17"/>
                <w:szCs w:val="17"/>
                <w:color w:val="auto"/>
              </w:rPr>
            </w:pPr>
          </w:p>
        </w:tc>
        <w:tc>
          <w:tcPr>
            <w:tcW w:w="15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55,611,745</w:t>
            </w:r>
          </w:p>
        </w:tc>
      </w:tr>
      <w:tr>
        <w:trPr>
          <w:trHeight w:val="20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 from contracts with customers:</w:t>
            </w:r>
          </w:p>
        </w:tc>
        <w:tc>
          <w:tcPr>
            <w:tcW w:w="198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60,902,098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4"/>
              </w:rPr>
              <w:t>74,444,141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Geography</w:t>
      </w:r>
    </w:p>
    <w:p>
      <w:pPr>
        <w:spacing w:after="0" w:line="19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Company attributes net revenue to geographic regions based on customer location. Net revenue by geographic region for the years ended December 31, 2023 and 2022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6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53,577,666</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4"/>
              </w:rPr>
              <w:t>69,977,621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7,324,432</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4,466,520</w:t>
            </w:r>
          </w:p>
        </w:tc>
        <w:tc>
          <w:tcPr>
            <w:tcW w:w="0" w:type="dxa"/>
            <w:vAlign w:val="bottom"/>
          </w:tcPr>
          <w:p>
            <w:pPr>
              <w:spacing w:after="0"/>
              <w:rPr>
                <w:sz w:val="1"/>
                <w:szCs w:val="1"/>
                <w:color w:val="auto"/>
              </w:rPr>
            </w:pPr>
          </w:p>
        </w:tc>
      </w:tr>
      <w:tr>
        <w:trPr>
          <w:trHeight w:val="200"/>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 from contracts with customers:</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60,902,098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4"/>
              </w:rPr>
              <w:t>74,444,141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Platform</w:t>
            </w:r>
          </w:p>
        </w:tc>
        <w:tc>
          <w:tcPr>
            <w:tcW w:w="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63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Net revenue by platform for the years ended December 31, 2023 and 2022 were as follows:</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3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Console</w:t>
            </w:r>
          </w:p>
        </w:tc>
        <w:tc>
          <w:tcPr>
            <w:tcW w:w="6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26,628,037</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4"/>
              </w:rPr>
              <w:t>32,382,088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PC</w:t>
            </w: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26,402,330</w:t>
            </w:r>
          </w:p>
        </w:tc>
        <w:tc>
          <w:tcPr>
            <w:tcW w:w="440" w:type="dxa"/>
            <w:vAlign w:val="bottom"/>
          </w:tcPr>
          <w:p>
            <w:pPr>
              <w:spacing w:after="0"/>
              <w:rPr>
                <w:sz w:val="16"/>
                <w:szCs w:val="16"/>
                <w:color w:val="auto"/>
              </w:rPr>
            </w:pPr>
          </w:p>
        </w:tc>
        <w:tc>
          <w:tcPr>
            <w:tcW w:w="15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31,592,858</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Mobile</w:t>
            </w:r>
          </w:p>
        </w:tc>
        <w:tc>
          <w:tcPr>
            <w:tcW w:w="6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5,830,671</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9,506,777</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2,041,060</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962,418</w:t>
            </w:r>
          </w:p>
        </w:tc>
        <w:tc>
          <w:tcPr>
            <w:tcW w:w="0" w:type="dxa"/>
            <w:vAlign w:val="bottom"/>
          </w:tcPr>
          <w:p>
            <w:pPr>
              <w:spacing w:after="0"/>
              <w:rPr>
                <w:sz w:val="1"/>
                <w:szCs w:val="1"/>
                <w:color w:val="auto"/>
              </w:rPr>
            </w:pPr>
          </w:p>
        </w:tc>
      </w:tr>
      <w:tr>
        <w:trPr>
          <w:trHeight w:val="200"/>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 from contracts with customers:</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60,902,098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4"/>
              </w:rPr>
              <w:t>74,444,141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 channel</w:t>
      </w:r>
    </w:p>
    <w:p>
      <w:pPr>
        <w:spacing w:after="0" w:line="19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Our products are delivered through digital online services (digital download, online platforms, and cloud streaming), mobile, and retail distribution and other. Net revenue by distribution channel for the years ended December 31, 2023 and 2022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188"/>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w:t>
            </w:r>
          </w:p>
        </w:tc>
        <w:tc>
          <w:tcPr>
            <w:tcW w:w="27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53,030,367</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63,974,946</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Mobile</w:t>
            </w: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5,830,671</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9,506,777</w:t>
            </w:r>
          </w:p>
        </w:tc>
      </w:tr>
      <w:tr>
        <w:trPr>
          <w:trHeight w:val="22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Physical retail and other</w:t>
            </w:r>
          </w:p>
        </w:tc>
        <w:tc>
          <w:tcPr>
            <w:tcW w:w="27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2,041,060</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962,418</w:t>
            </w:r>
          </w:p>
        </w:tc>
      </w:tr>
      <w:tr>
        <w:trPr>
          <w:trHeight w:val="183"/>
        </w:trPr>
        <w:tc>
          <w:tcPr>
            <w:tcW w:w="4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revenue from contracts with customers:</w:t>
            </w:r>
          </w:p>
        </w:tc>
        <w:tc>
          <w:tcPr>
            <w:tcW w:w="2720" w:type="dxa"/>
            <w:vAlign w:val="bottom"/>
            <w:tcBorders>
              <w:top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60,902,098</w:t>
            </w:r>
          </w:p>
        </w:tc>
        <w:tc>
          <w:tcPr>
            <w:tcW w:w="32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74,444,141</w:t>
            </w:r>
          </w:p>
        </w:tc>
        <w:tc>
          <w:tcPr>
            <w:tcW w:w="120" w:type="dxa"/>
            <w:vAlign w:val="bottom"/>
            <w:tcBorders>
              <w:top w:val="single" w:sz="8" w:color="CCEEFF"/>
            </w:tcBorders>
          </w:tcPr>
          <w:p>
            <w:pPr>
              <w:spacing w:after="0"/>
              <w:rPr>
                <w:sz w:val="15"/>
                <w:szCs w:val="15"/>
                <w:color w:val="auto"/>
              </w:rPr>
            </w:pPr>
          </w:p>
        </w:tc>
      </w:tr>
      <w:tr>
        <w:trPr>
          <w:trHeight w:val="20"/>
        </w:trPr>
        <w:tc>
          <w:tcPr>
            <w:tcW w:w="4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5"/>
        </w:trPr>
        <w:tc>
          <w:tcPr>
            <w:tcW w:w="42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jc w:val="right"/>
              <w:ind w:right="2302"/>
              <w:spacing w:after="0"/>
              <w:rPr>
                <w:sz w:val="20"/>
                <w:szCs w:val="20"/>
                <w:color w:val="auto"/>
              </w:rPr>
            </w:pPr>
            <w:r>
              <w:rPr>
                <w:rFonts w:ascii="Times New Roman" w:cs="Times New Roman" w:eastAsia="Times New Roman" w:hAnsi="Times New Roman"/>
                <w:sz w:val="16"/>
                <w:szCs w:val="16"/>
                <w:color w:val="auto"/>
              </w:rPr>
              <w:t>F-17</w:t>
            </w: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7"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Revenue</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 xml:space="preserve">The Company records deferred revenue when payments are due or received in advance of the fulfillment of our associated performance obligations; reductions to deferred revenue balance were primarily due to the recognition of revenue upon fulfillment of its performance obligations, which were in the ordinary course of business. As of December 31, 2023, the balance of deferred revenue was $34.3 million, of which $32.5 million is due to non-refundable payments. The Company is expecting to recognize $13.7 million of the non-refundable payments in the next 12 months through the platform releases of certain DLCs, $1.2 million upon the release of </w:t>
      </w:r>
      <w:r>
        <w:rPr>
          <w:rFonts w:ascii="Times New Roman" w:cs="Times New Roman" w:eastAsia="Times New Roman" w:hAnsi="Times New Roman"/>
          <w:sz w:val="15"/>
          <w:szCs w:val="15"/>
          <w:i w:val="1"/>
          <w:iCs w:val="1"/>
          <w:color w:val="auto"/>
        </w:rPr>
        <w:t>Myth of Empires</w:t>
      </w:r>
      <w:r>
        <w:rPr>
          <w:rFonts w:ascii="Times New Roman" w:cs="Times New Roman" w:eastAsia="Times New Roman" w:hAnsi="Times New Roman"/>
          <w:sz w:val="15"/>
          <w:szCs w:val="15"/>
          <w:color w:val="auto"/>
        </w:rPr>
        <w:t xml:space="preserve">, $11.1 million of non-refundable payments in the next 12 to 24 months through the release of DLC’s and additional </w:t>
      </w:r>
      <w:r>
        <w:rPr>
          <w:rFonts w:ascii="Times New Roman" w:cs="Times New Roman" w:eastAsia="Times New Roman" w:hAnsi="Times New Roman"/>
          <w:sz w:val="15"/>
          <w:szCs w:val="15"/>
          <w:i w:val="1"/>
          <w:iCs w:val="1"/>
          <w:color w:val="auto"/>
        </w:rPr>
        <w:t>ARK IP.</w:t>
      </w:r>
      <w:r>
        <w:rPr>
          <w:rFonts w:ascii="Times New Roman" w:cs="Times New Roman" w:eastAsia="Times New Roman" w:hAnsi="Times New Roman"/>
          <w:sz w:val="15"/>
          <w:szCs w:val="15"/>
          <w:color w:val="auto"/>
        </w:rPr>
        <w:t xml:space="preserve"> The remaining $3.8 million of current non-refundable deferred revenues and $2.7 million of long term non-refundable deferred revenue will be recognized as revenue primarily on a straight-line basis over the next 60 months, based on our estimates of technical support obligations, the usage of consumable virtual goods and estimated period of time an end user will play the game. The Company’s refundable deferred revenue consists of the advance payments received in accordance with the agreement the Company has made with its retail distributor. The Company expects to recognize $0.5 million in the next 12 months and the remainder of $1.3 million in fiscal year 2025. Activities in the Company’s deferred revenue as of December 31, 2023 and 2022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beginning balance in advance of revenue recognition billing</w:t>
            </w:r>
          </w:p>
        </w:tc>
        <w:tc>
          <w:tcPr>
            <w:tcW w:w="10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9,551,446</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20,280,934</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8"/>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Revenue recognized</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(6,437,618)</w:t>
            </w:r>
          </w:p>
        </w:tc>
        <w:tc>
          <w:tcPr>
            <w:tcW w:w="440" w:type="dxa"/>
            <w:vAlign w:val="bottom"/>
          </w:tcPr>
          <w:p>
            <w:pPr>
              <w:spacing w:after="0"/>
              <w:rPr>
                <w:sz w:val="16"/>
                <w:szCs w:val="16"/>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(18,832,396)</w:t>
            </w:r>
          </w:p>
        </w:tc>
      </w:tr>
      <w:tr>
        <w:trPr>
          <w:trHeight w:val="22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deferred</w:t>
            </w:r>
          </w:p>
        </w:tc>
        <w:tc>
          <w:tcPr>
            <w:tcW w:w="1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31,202,878</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8,102,908</w:t>
            </w:r>
          </w:p>
        </w:tc>
        <w:tc>
          <w:tcPr>
            <w:tcW w:w="100" w:type="dxa"/>
            <w:vAlign w:val="bottom"/>
            <w:shd w:val="clear" w:color="auto" w:fill="CCEEFF"/>
          </w:tcPr>
          <w:p>
            <w:pPr>
              <w:spacing w:after="0"/>
              <w:rPr>
                <w:sz w:val="19"/>
                <w:szCs w:val="19"/>
                <w:color w:val="auto"/>
              </w:rPr>
            </w:pPr>
          </w:p>
        </w:tc>
      </w:tr>
      <w:tr>
        <w:trPr>
          <w:trHeight w:val="172"/>
        </w:trPr>
        <w:tc>
          <w:tcPr>
            <w:tcW w:w="596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Deferred revenue, ending balance</w:t>
            </w:r>
          </w:p>
        </w:tc>
        <w:tc>
          <w:tcPr>
            <w:tcW w:w="102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34,316,706</w:t>
            </w:r>
          </w:p>
        </w:tc>
        <w:tc>
          <w:tcPr>
            <w:tcW w:w="32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9,551,446</w:t>
            </w: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2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6"/>
              </w:rPr>
              <w:t>(19,252,628)</w:t>
            </w:r>
          </w:p>
        </w:tc>
        <w:tc>
          <w:tcPr>
            <w:tcW w:w="4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(4,335,404)</w:t>
            </w:r>
          </w:p>
        </w:tc>
      </w:tr>
      <w:tr>
        <w:trPr>
          <w:trHeight w:val="183"/>
        </w:trPr>
        <w:tc>
          <w:tcPr>
            <w:tcW w:w="5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revenue, long term</w:t>
            </w:r>
          </w:p>
        </w:tc>
        <w:tc>
          <w:tcPr>
            <w:tcW w:w="1020" w:type="dxa"/>
            <w:vAlign w:val="bottom"/>
            <w:tcBorders>
              <w:top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15,064,078</w:t>
            </w:r>
          </w:p>
        </w:tc>
        <w:tc>
          <w:tcPr>
            <w:tcW w:w="32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5,216,042</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5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CASH AND CASH EQUIVALENTS, AND RESTRICTED CASH AND CASH EQUIVALENTS</w:t>
      </w:r>
    </w:p>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Cash equivalents are valued using quoted market prices or other readily available market information. The Company has restricted cash and cash equivalents of $1,116,196 and $6,374,368 as of December 31, 2023 and 2022, respectively. The amounts of restricted cash and cash equivalents held as of December 31, 2023, are to secure the standby letter of credit with landlords and the amounts of restricted cash and cash equivalents as of December 31, 2022, are held as security for the debt with a financial institution (see Note 15 — </w:t>
      </w:r>
      <w:r>
        <w:rPr>
          <w:rFonts w:ascii="Times New Roman" w:cs="Times New Roman" w:eastAsia="Times New Roman" w:hAnsi="Times New Roman"/>
          <w:sz w:val="16"/>
          <w:szCs w:val="16"/>
          <w:i w:val="1"/>
          <w:iCs w:val="1"/>
          <w:color w:val="auto"/>
        </w:rPr>
        <w:t>Revolving Loan, Short Term Note, and Long-Term Debt</w:t>
      </w:r>
      <w:r>
        <w:rPr>
          <w:rFonts w:ascii="Times New Roman" w:cs="Times New Roman" w:eastAsia="Times New Roman" w:hAnsi="Times New Roman"/>
          <w:sz w:val="16"/>
          <w:szCs w:val="16"/>
          <w:color w:val="auto"/>
        </w:rPr>
        <w:t>) and to secure standby letters of credit with landlords. On June 21, 2023, the Company amended its revolving loan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$5,273,391 of restricted cash and cash equivalents was released. The following table summarizes the components of the Company’s cash and cash equivalents, and restricted cash and cash equivalents as of December 31, 2023 and 2022: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r>
      <w:tr>
        <w:trPr>
          <w:trHeight w:val="188"/>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15,198,123</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12,863,817</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1,116,196</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6,374,368</w:t>
            </w:r>
          </w:p>
        </w:tc>
      </w:tr>
      <w:tr>
        <w:trPr>
          <w:trHeight w:val="20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w:t>
            </w:r>
          </w:p>
        </w:tc>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16,314,319</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19,238,185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(PAYABLE) – RELATED PARTY</w:t>
      </w:r>
    </w:p>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Accounts receivable — related party represents receivables in the ordinary course of business attributable to certain mobile game revenues that, for administrative reasons, were collected by a related party and that the related party has not yet remitted back to the Company. Accounts receivable — related party is non-interest bearing and due on demand. The related party, SDE Inc. (“SDE”), is 100% owned and controlled by the wife of the Founder, Chief Strategy Officer and Chairman of the Company. In January 2024, the Company entered into an offset agreement with SDE. The Company has the right to offset payables due to the related party for royalties, IDC and marketing costs as they are determinable, mutual, and the right is enforceable by law. The Company will offset $0.5 million per month, or $6.0 million annually, beginning in January 2024, until the receivable has been collected or offset in full. To reflect the timing of the offset agreement, a portion of the SDE receivable has been reclassified as a long-term asset. The Company’s current SDE payable is greater than its current SDE receivable and has reclassified the net SDE payable to accounts payable – related parties as of December 31, 2023. During the year ended December 31, 2023, the Company made cash payments to SDE in the amount of $33.1 million and anticipates continuing to make cash payment to SDE in future years. As of December 31, 2023 and 2022, the outstanding balance of net accounts receivable from related party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188"/>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 related party</w:t>
            </w:r>
          </w:p>
        </w:tc>
        <w:tc>
          <w:tcPr>
            <w:tcW w:w="22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13,500,592</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13,519,409</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Less: accounts payable – related party – SDE</w:t>
            </w:r>
          </w:p>
        </w:tc>
        <w:tc>
          <w:tcPr>
            <w:tcW w:w="2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w w:val="96"/>
              </w:rPr>
              <w:t>(10,946,478)</w:t>
            </w:r>
          </w:p>
        </w:tc>
        <w:tc>
          <w:tcPr>
            <w:tcW w:w="44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(2,175,225)</w:t>
            </w:r>
          </w:p>
        </w:tc>
      </w:tr>
      <w:tr>
        <w:trPr>
          <w:trHeight w:val="188"/>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accounts receivable, related party - SDE</w:t>
            </w:r>
          </w:p>
        </w:tc>
        <w:tc>
          <w:tcPr>
            <w:tcW w:w="22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2,554,114</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11,344,184</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Less: accounts receivable – related party, net of current portion</w:t>
            </w:r>
          </w:p>
        </w:tc>
        <w:tc>
          <w:tcPr>
            <w:tcW w:w="2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7,500,592</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accounts receivable (payable), related party, current - SDE</w:t>
            </w:r>
          </w:p>
        </w:tc>
        <w:tc>
          <w:tcPr>
            <w:tcW w:w="228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(4,946,478</w:t>
            </w:r>
          </w:p>
        </w:tc>
        <w:tc>
          <w:tcPr>
            <w:tcW w:w="320" w:type="dxa"/>
            <w:vAlign w:val="bottom"/>
            <w:tcBorders>
              <w:top w:val="single" w:sz="8" w:color="CCEEFF"/>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11,344,184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5"/>
        </w:trPr>
        <w:tc>
          <w:tcPr>
            <w:tcW w:w="47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right"/>
              <w:ind w:right="2282"/>
              <w:spacing w:after="0"/>
              <w:rPr>
                <w:sz w:val="20"/>
                <w:szCs w:val="20"/>
                <w:color w:val="auto"/>
              </w:rPr>
            </w:pPr>
            <w:r>
              <w:rPr>
                <w:rFonts w:ascii="Times New Roman" w:cs="Times New Roman" w:eastAsia="Times New Roman" w:hAnsi="Times New Roman"/>
                <w:sz w:val="16"/>
                <w:szCs w:val="16"/>
                <w:color w:val="auto"/>
              </w:rPr>
              <w:t>F-18</w:t>
            </w: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7"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DUE FROM SHAREHOLDER</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 xml:space="preserve">Other receivables from related party consisted of monies that the Company loaned to the Company’s Founder, Chief Strategy Officer and Chairman, who is also the majority shareholder of Suzhou Snail. The loan bore 2.0% per annum interest. On April 26, 2022, the Company, with approval from its Board of Directors and in accordance with applicable laws and regulations, assigned the other receivables – related party (the “Shareholder Loan”) of $94,934,400 outstanding including interest, to Suzhou Snail, which assumed the loan as creditor. Simultaneously, the Company declared and paid Suzhou Snail an in-kind dividend with an aggregate amount equal to $94,934,400 on April 26, 2022; see Note 7 – </w:t>
      </w:r>
      <w:r>
        <w:rPr>
          <w:rFonts w:ascii="Times New Roman" w:cs="Times New Roman" w:eastAsia="Times New Roman" w:hAnsi="Times New Roman"/>
          <w:sz w:val="16"/>
          <w:szCs w:val="16"/>
          <w:i w:val="1"/>
          <w:iCs w:val="1"/>
          <w:color w:val="auto"/>
        </w:rPr>
        <w:t>Dividend Distribution</w:t>
      </w:r>
      <w:r>
        <w:rPr>
          <w:rFonts w:ascii="Times New Roman" w:cs="Times New Roman" w:eastAsia="Times New Roman" w:hAnsi="Times New Roman"/>
          <w:sz w:val="16"/>
          <w:szCs w:val="16"/>
          <w:color w:val="auto"/>
        </w:rPr>
        <w:t>. As of December 31, 2022, the other receivable was $0 and no longer reflected on the Company’s consolidated balance sheets. The loan did not accrue interest during the year ended December 31, 2023. The loan accrued interest of $580,878 during the year ended December 31, 2022. The earned interest is reported in interest income – related parties in the Company’s consolidated statements of operations and comprehensive income (loss).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DIVIDEND DISTRIBUTION</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On April 26, 2022, the Company declared an in-kind dividend of $94,934,400 for the assignment of the Shareholder Loan and a cash dividend of $8,200,000 to pay the related withholding taxes; see Note 6 – </w:t>
      </w:r>
      <w:r>
        <w:rPr>
          <w:rFonts w:ascii="Times New Roman" w:cs="Times New Roman" w:eastAsia="Times New Roman" w:hAnsi="Times New Roman"/>
          <w:sz w:val="16"/>
          <w:szCs w:val="16"/>
          <w:i w:val="1"/>
          <w:iCs w:val="1"/>
          <w:color w:val="auto"/>
        </w:rPr>
        <w:t>Due from Shareholder.</w:t>
      </w:r>
      <w:r>
        <w:rPr>
          <w:rFonts w:ascii="Times New Roman" w:cs="Times New Roman" w:eastAsia="Times New Roman" w:hAnsi="Times New Roman"/>
          <w:sz w:val="16"/>
          <w:szCs w:val="16"/>
          <w:color w:val="auto"/>
        </w:rPr>
        <w:t xml:space="preserve"> There were no such distributions during the year ended December 31, 2023. In April 2023, the Company filed its annual withholding tax return Form 1042 and recognized a refund receivable related to the withholding taxes paid in the amount of $1,886,600. The refund was received in August 2023 and is reported in additional paid-in capital in the accompanying consolidated balance sheets as of December 31, 2023 and the consolidated statements of equity for the year ended December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PREPAID EXPENSES - RELATED PARTY</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On March 10, 2023, the Company amended its exclusive software license agreement with SDE relating to the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franchise. For DLC’s, the Company plans to release during the term of the agreement, the Company will now have the option to pay the $5.0 million DLC payment in whole or in part, when paid in advance; or in full, upon the DLC release. No payment for any DLC under this agreement will exceed $5.0 million.</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During the year ended December 31, 2023, the Company prepaid $2.5 million for exclusive license rights for an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DLC to SDE and $5.5 million in prepaid royalties related to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DLC’s which have not yet been released. During the year ended December 31, 2022, the Company prepaid $5.0 million for exclusive license rights to an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sequel to SDE. Prepaid expenses — related party consisted of the following as of December 31, 2023 and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royalties</w:t>
            </w:r>
          </w:p>
        </w:tc>
        <w:tc>
          <w:tcPr>
            <w:tcW w:w="19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6,086,406</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582,500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Prepaid licenses</w:t>
            </w:r>
          </w:p>
        </w:tc>
        <w:tc>
          <w:tcPr>
            <w:tcW w:w="1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Pr>
          <w:p>
            <w:pPr>
              <w:spacing w:after="0"/>
              <w:rPr>
                <w:sz w:val="16"/>
                <w:szCs w:val="16"/>
                <w:color w:val="auto"/>
              </w:rPr>
            </w:pPr>
          </w:p>
        </w:tc>
      </w:tr>
      <w:tr>
        <w:trPr>
          <w:trHeight w:val="22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prepaids</w:t>
            </w:r>
          </w:p>
        </w:tc>
        <w:tc>
          <w:tcPr>
            <w:tcW w:w="19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242,060</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r>
      <w:tr>
        <w:trPr>
          <w:trHeight w:val="172"/>
        </w:trPr>
        <w:tc>
          <w:tcPr>
            <w:tcW w:w="500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Prepaid expenses - related party, ending balance</w:t>
            </w:r>
          </w:p>
        </w:tc>
        <w:tc>
          <w:tcPr>
            <w:tcW w:w="1980" w:type="dxa"/>
            <w:vAlign w:val="bottom"/>
            <w:tcBorders>
              <w:top w:val="single" w:sz="8" w:color="CCEEFF"/>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13,828,466</w:t>
            </w:r>
          </w:p>
        </w:tc>
        <w:tc>
          <w:tcPr>
            <w:tcW w:w="32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5,582,500</w:t>
            </w: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2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short-term portion</w:t>
            </w:r>
          </w:p>
        </w:tc>
        <w:tc>
          <w:tcPr>
            <w:tcW w:w="19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(6,044,404)</w:t>
            </w:r>
          </w:p>
        </w:tc>
        <w:tc>
          <w:tcPr>
            <w:tcW w:w="4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5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prepaid expenses - related party, long-term</w:t>
            </w:r>
          </w:p>
        </w:tc>
        <w:tc>
          <w:tcPr>
            <w:tcW w:w="1980" w:type="dxa"/>
            <w:vAlign w:val="bottom"/>
            <w:tcBorders>
              <w:top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7,784,062</w:t>
            </w:r>
          </w:p>
        </w:tc>
        <w:tc>
          <w:tcPr>
            <w:tcW w:w="32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5,582,500</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5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amount classified as short-term, as of December 31, 2023, includes the prepaid license for the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 that the Company expects to release in the next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twelve months, prepaid royalties for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DLC’s which have not yet been released and various operational software licenses obtained through SDE.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PREPAID EXPENSES AND OTHER CURRENT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Prepaid expenses and other current assets consisted of the following as of December 31,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188"/>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income taxes</w:t>
            </w:r>
          </w:p>
        </w:tc>
        <w:tc>
          <w:tcPr>
            <w:tcW w:w="27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9,529,755</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9,822,603</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2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105,411</w:t>
            </w:r>
          </w:p>
        </w:tc>
        <w:tc>
          <w:tcPr>
            <w:tcW w:w="44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prepaids</w:t>
            </w:r>
          </w:p>
        </w:tc>
        <w:tc>
          <w:tcPr>
            <w:tcW w:w="27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70,967</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80,271</w:t>
            </w: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463,315</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662,267</w:t>
            </w:r>
          </w:p>
        </w:tc>
      </w:tr>
      <w:tr>
        <w:trPr>
          <w:trHeight w:val="20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278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10,169,448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10,565,141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5"/>
        </w:trPr>
        <w:tc>
          <w:tcPr>
            <w:tcW w:w="42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2"/>
          </w:tcPr>
          <w:p>
            <w:pPr>
              <w:jc w:val="right"/>
              <w:ind w:right="2302"/>
              <w:spacing w:after="0"/>
              <w:rPr>
                <w:sz w:val="20"/>
                <w:szCs w:val="20"/>
                <w:color w:val="auto"/>
              </w:rPr>
            </w:pPr>
            <w:r>
              <w:rPr>
                <w:rFonts w:ascii="Times New Roman" w:cs="Times New Roman" w:eastAsia="Times New Roman" w:hAnsi="Times New Roman"/>
                <w:sz w:val="16"/>
                <w:szCs w:val="16"/>
                <w:color w:val="auto"/>
              </w:rPr>
              <w:t>F-19</w:t>
            </w: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7"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10 – PROPERTY, PLANT AND EQUIPMENT, NET</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6"/>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 consisted of the following as of December 31, 2023 and 2022:</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69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8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w:t>
            </w: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1,874,049</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1,874,049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Land</w:t>
            </w:r>
          </w:p>
        </w:tc>
        <w:tc>
          <w:tcPr>
            <w:tcW w:w="4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2,700,000</w:t>
            </w:r>
          </w:p>
        </w:tc>
        <w:tc>
          <w:tcPr>
            <w:tcW w:w="100" w:type="dxa"/>
            <w:vAlign w:val="bottom"/>
          </w:tcPr>
          <w:p>
            <w:pPr>
              <w:spacing w:after="0"/>
              <w:rPr>
                <w:sz w:val="16"/>
                <w:szCs w:val="16"/>
                <w:color w:val="auto"/>
              </w:rPr>
            </w:pPr>
          </w:p>
        </w:tc>
      </w:tr>
      <w:tr>
        <w:trPr>
          <w:trHeight w:val="18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 improvements</w:t>
            </w: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1,010,218</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1,010,218</w:t>
            </w:r>
          </w:p>
        </w:tc>
        <w:tc>
          <w:tcPr>
            <w:tcW w:w="100" w:type="dxa"/>
            <w:vAlign w:val="bottom"/>
            <w:shd w:val="clear" w:color="auto" w:fill="CCEEFF"/>
          </w:tcPr>
          <w:p>
            <w:pPr>
              <w:spacing w:after="0"/>
              <w:rPr>
                <w:sz w:val="16"/>
                <w:szCs w:val="16"/>
                <w:color w:val="auto"/>
              </w:rPr>
            </w:pPr>
          </w:p>
        </w:tc>
      </w:tr>
      <w:tr>
        <w:trPr>
          <w:trHeight w:val="18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4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1,537,775</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1,537,775</w:t>
            </w:r>
          </w:p>
        </w:tc>
        <w:tc>
          <w:tcPr>
            <w:tcW w:w="100" w:type="dxa"/>
            <w:vAlign w:val="bottom"/>
          </w:tcPr>
          <w:p>
            <w:pPr>
              <w:spacing w:after="0"/>
              <w:rPr>
                <w:sz w:val="16"/>
                <w:szCs w:val="16"/>
                <w:color w:val="auto"/>
              </w:rPr>
            </w:pPr>
          </w:p>
        </w:tc>
      </w:tr>
      <w:tr>
        <w:trPr>
          <w:trHeight w:val="18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Autos and trucks</w:t>
            </w: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178,695</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178,695</w:t>
            </w:r>
          </w:p>
        </w:tc>
        <w:tc>
          <w:tcPr>
            <w:tcW w:w="100" w:type="dxa"/>
            <w:vAlign w:val="bottom"/>
            <w:shd w:val="clear" w:color="auto" w:fill="CCEEFF"/>
          </w:tcPr>
          <w:p>
            <w:pPr>
              <w:spacing w:after="0"/>
              <w:rPr>
                <w:sz w:val="16"/>
                <w:szCs w:val="16"/>
                <w:color w:val="auto"/>
              </w:rPr>
            </w:pPr>
          </w:p>
        </w:tc>
      </w:tr>
      <w:tr>
        <w:trPr>
          <w:trHeight w:val="18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Computer and equipment</w:t>
            </w:r>
          </w:p>
        </w:tc>
        <w:tc>
          <w:tcPr>
            <w:tcW w:w="4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1,809,214</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1,821,819</w:t>
            </w:r>
          </w:p>
        </w:tc>
        <w:tc>
          <w:tcPr>
            <w:tcW w:w="100" w:type="dxa"/>
            <w:vAlign w:val="bottom"/>
          </w:tcPr>
          <w:p>
            <w:pPr>
              <w:spacing w:after="0"/>
              <w:rPr>
                <w:sz w:val="16"/>
                <w:szCs w:val="16"/>
                <w:color w:val="auto"/>
              </w:rPr>
            </w:pPr>
          </w:p>
        </w:tc>
      </w:tr>
      <w:tr>
        <w:trPr>
          <w:trHeight w:val="22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4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411,801</w:t>
            </w:r>
          </w:p>
        </w:tc>
        <w:tc>
          <w:tcPr>
            <w:tcW w:w="4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411,801</w:t>
            </w:r>
          </w:p>
        </w:tc>
      </w:tr>
      <w:tr>
        <w:trPr>
          <w:trHeight w:val="172"/>
        </w:trPr>
        <w:tc>
          <w:tcPr>
            <w:tcW w:w="698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9,521,752</w:t>
            </w:r>
          </w:p>
        </w:tc>
        <w:tc>
          <w:tcPr>
            <w:tcW w:w="32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9,534,357</w:t>
            </w: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2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4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(4,839,686)</w:t>
            </w:r>
          </w:p>
        </w:tc>
        <w:tc>
          <w:tcPr>
            <w:tcW w:w="4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(4,419,558)</w:t>
            </w:r>
          </w:p>
        </w:tc>
      </w:tr>
      <w:tr>
        <w:trPr>
          <w:trHeight w:val="183"/>
        </w:trPr>
        <w:tc>
          <w:tcPr>
            <w:tcW w:w="6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6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4,682,066</w:t>
            </w:r>
          </w:p>
        </w:tc>
        <w:tc>
          <w:tcPr>
            <w:tcW w:w="32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5,114,799</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Depreciation and amortization expense was $432,306 and $565,906 for the years ended December 31, 2023 and 2022, respectively. During the year ended December 31, 2023, the Company disposed of $12,605 in computer equipment with an accumulated depreciation of $12,178. The total loss resulting from the disposal of the assets amounted to $427 for the year ended December 31, 2023. During the year ended December 31, 2022, the Company disposed of $99,811 in computer equipment with an accumulated depreciation of $97,421; and sold a vehicle for $19,500 that was purchased for $88,398 and fully depreciated at the time of sale. The total gain resulting from the disposal of the assets amounted to $17,067 for the year ended December 31, 2022. The Company’s subsidiary, Donkey Crew, LLC, held property, plant and equipment, net outside of the United States in the amount of $3,045 and $13,569, as of December 31, 2023 and 2022,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INTANGIBLE ASSETS</w:t>
      </w:r>
    </w:p>
    <w:p>
      <w:pPr>
        <w:spacing w:after="0" w:line="19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Intangible assets consist of game licenses, game software underlying intellectual property rights, game trademarks and other branding items. The Company amortizes the intangible assets over its useful life.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reflect all the intangible assets presented on the consolidated balance sheets as of December 31,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440"/>
              <w:spacing w:after="0" w:line="17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36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160"/>
        </w:trPr>
        <w:tc>
          <w:tcPr>
            <w:tcW w:w="214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License rights from related</w:t>
            </w:r>
          </w:p>
        </w:tc>
        <w:tc>
          <w:tcPr>
            <w:tcW w:w="2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parties</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136,665,000</w:t>
            </w:r>
          </w:p>
        </w:tc>
        <w:tc>
          <w:tcPr>
            <w:tcW w:w="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(136,665,000)</w:t>
            </w:r>
          </w:p>
        </w:tc>
        <w:tc>
          <w:tcPr>
            <w:tcW w:w="1480" w:type="dxa"/>
            <w:vAlign w:val="bottom"/>
            <w:gridSpan w:val="2"/>
            <w:shd w:val="clear" w:color="auto" w:fill="CCEEFF"/>
          </w:tcPr>
          <w:p>
            <w:pPr>
              <w:jc w:val="right"/>
              <w:ind w:right="120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3 - 5 years</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License rights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5 years</w:t>
            </w:r>
          </w:p>
        </w:tc>
        <w:tc>
          <w:tcPr>
            <w:tcW w:w="0" w:type="dxa"/>
            <w:vAlign w:val="bottom"/>
          </w:tcPr>
          <w:p>
            <w:pPr>
              <w:spacing w:after="0" w:line="20" w:lineRule="exact"/>
              <w:rPr>
                <w:sz w:val="1"/>
                <w:szCs w:val="1"/>
                <w:color w:val="auto"/>
              </w:rPr>
            </w:pPr>
          </w:p>
        </w:tc>
      </w:tr>
      <w:tr>
        <w:trPr>
          <w:trHeight w:val="204"/>
        </w:trPr>
        <w:tc>
          <w:tcPr>
            <w:tcW w:w="214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jc w:val="right"/>
              <w:ind w:right="12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6"/>
                <w:szCs w:val="16"/>
                <w:color w:val="auto"/>
              </w:rPr>
              <w:t>3,000,000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jc w:val="right"/>
              <w:ind w:right="6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6"/>
                <w:szCs w:val="16"/>
                <w:color w:val="auto"/>
              </w:rPr>
              <w:t>(3,000,000</w:t>
            </w:r>
          </w:p>
        </w:tc>
        <w:tc>
          <w:tcPr>
            <w:tcW w:w="2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jc w:val="right"/>
              <w:ind w:right="120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ind w:left="40"/>
              <w:spacing w:after="0" w:line="164" w:lineRule="exact"/>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jc w:val="right"/>
              <w:ind w:right="12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vMerge w:val="continue"/>
          </w:tcPr>
          <w:p>
            <w:pPr>
              <w:spacing w:after="0"/>
              <w:rPr>
                <w:sz w:val="17"/>
                <w:szCs w:val="17"/>
                <w:color w:val="auto"/>
              </w:rPr>
            </w:pPr>
          </w:p>
        </w:tc>
        <w:tc>
          <w:tcPr>
            <w:tcW w:w="146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1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Intangible assets - other:</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51,784</w:t>
            </w:r>
          </w:p>
        </w:tc>
        <w:tc>
          <w:tcPr>
            <w:tcW w:w="4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(51,784)</w:t>
            </w:r>
          </w:p>
        </w:tc>
        <w:tc>
          <w:tcPr>
            <w:tcW w:w="1480" w:type="dxa"/>
            <w:vAlign w:val="bottom"/>
            <w:gridSpan w:val="2"/>
          </w:tcPr>
          <w:p>
            <w:pPr>
              <w:jc w:val="right"/>
              <w:ind w:right="120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 years</w:t>
            </w:r>
          </w:p>
        </w:tc>
        <w:tc>
          <w:tcPr>
            <w:tcW w:w="0" w:type="dxa"/>
            <w:vAlign w:val="bottom"/>
          </w:tcPr>
          <w:p>
            <w:pPr>
              <w:spacing w:after="0"/>
              <w:rPr>
                <w:sz w:val="1"/>
                <w:szCs w:val="1"/>
                <w:color w:val="auto"/>
              </w:rPr>
            </w:pPr>
          </w:p>
        </w:tc>
      </w:tr>
      <w:tr>
        <w:trPr>
          <w:trHeight w:val="188"/>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Trademark</w:t>
            </w:r>
          </w:p>
        </w:tc>
        <w:tc>
          <w:tcPr>
            <w:tcW w:w="2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10,745</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(9,914)</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831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12 years</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In-progress patent</w:t>
            </w:r>
          </w:p>
        </w:tc>
        <w:tc>
          <w:tcPr>
            <w:tcW w:w="2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270,886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270,886</w:t>
            </w: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333,415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(61,698</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ind w:right="120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271,717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F-20</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97"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440"/>
              <w:spacing w:after="0" w:line="17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3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36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160"/>
        </w:trPr>
        <w:tc>
          <w:tcPr>
            <w:tcW w:w="214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License rights from related</w:t>
            </w:r>
          </w:p>
        </w:tc>
        <w:tc>
          <w:tcPr>
            <w:tcW w:w="2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parties</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136,665,000</w:t>
            </w:r>
          </w:p>
        </w:tc>
        <w:tc>
          <w:tcPr>
            <w:tcW w:w="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(135,280,942)</w:t>
            </w:r>
          </w:p>
        </w:tc>
        <w:tc>
          <w:tcPr>
            <w:tcW w:w="1520" w:type="dxa"/>
            <w:vAlign w:val="bottom"/>
            <w:gridSpan w:val="2"/>
            <w:shd w:val="clear" w:color="auto" w:fill="CCEEFF"/>
          </w:tcPr>
          <w:p>
            <w:pPr>
              <w:jc w:val="right"/>
              <w:ind w:right="120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1,384,058</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3 - 5 years</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License rights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5 years</w:t>
            </w:r>
          </w:p>
        </w:tc>
        <w:tc>
          <w:tcPr>
            <w:tcW w:w="0" w:type="dxa"/>
            <w:vAlign w:val="bottom"/>
          </w:tcPr>
          <w:p>
            <w:pPr>
              <w:spacing w:after="0" w:line="20" w:lineRule="exact"/>
              <w:rPr>
                <w:sz w:val="1"/>
                <w:szCs w:val="1"/>
                <w:color w:val="auto"/>
              </w:rPr>
            </w:pPr>
          </w:p>
        </w:tc>
      </w:tr>
      <w:tr>
        <w:trPr>
          <w:trHeight w:val="204"/>
        </w:trPr>
        <w:tc>
          <w:tcPr>
            <w:tcW w:w="214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jc w:val="right"/>
              <w:ind w:right="12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6"/>
                <w:szCs w:val="16"/>
                <w:color w:val="auto"/>
              </w:rPr>
              <w:t>3,000,000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jc w:val="right"/>
              <w:ind w:right="6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6"/>
                <w:szCs w:val="16"/>
                <w:color w:val="auto"/>
              </w:rPr>
              <w:t>(3,000,000</w:t>
            </w:r>
          </w:p>
        </w:tc>
        <w:tc>
          <w:tcPr>
            <w:tcW w:w="1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jc w:val="right"/>
              <w:ind w:right="120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ind w:left="40"/>
              <w:spacing w:after="0" w:line="164" w:lineRule="exact"/>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jc w:val="right"/>
              <w:ind w:right="12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vMerge w:val="continue"/>
          </w:tcPr>
          <w:p>
            <w:pPr>
              <w:spacing w:after="0"/>
              <w:rPr>
                <w:sz w:val="17"/>
                <w:szCs w:val="17"/>
                <w:color w:val="auto"/>
              </w:rPr>
            </w:pPr>
          </w:p>
        </w:tc>
        <w:tc>
          <w:tcPr>
            <w:tcW w:w="146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1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Intangible assets - other:</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51,784</w:t>
            </w:r>
          </w:p>
        </w:tc>
        <w:tc>
          <w:tcPr>
            <w:tcW w:w="4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(51,784)</w:t>
            </w:r>
          </w:p>
        </w:tc>
        <w:tc>
          <w:tcPr>
            <w:tcW w:w="1520" w:type="dxa"/>
            <w:vAlign w:val="bottom"/>
            <w:gridSpan w:val="2"/>
          </w:tcPr>
          <w:p>
            <w:pPr>
              <w:jc w:val="right"/>
              <w:ind w:right="120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 years</w:t>
            </w:r>
          </w:p>
        </w:tc>
        <w:tc>
          <w:tcPr>
            <w:tcW w:w="0" w:type="dxa"/>
            <w:vAlign w:val="bottom"/>
          </w:tcPr>
          <w:p>
            <w:pPr>
              <w:spacing w:after="0"/>
              <w:rPr>
                <w:sz w:val="1"/>
                <w:szCs w:val="1"/>
                <w:color w:val="auto"/>
              </w:rPr>
            </w:pPr>
          </w:p>
        </w:tc>
      </w:tr>
      <w:tr>
        <w:trPr>
          <w:trHeight w:val="188"/>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Trademark</w:t>
            </w:r>
          </w:p>
        </w:tc>
        <w:tc>
          <w:tcPr>
            <w:tcW w:w="2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10,745</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(9,110)</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12 years</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In-progress patent</w:t>
            </w:r>
          </w:p>
        </w:tc>
        <w:tc>
          <w:tcPr>
            <w:tcW w:w="2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270,886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270,886</w:t>
            </w: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333,415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(60,894</w:t>
            </w:r>
          </w:p>
        </w:tc>
        <w:tc>
          <w:tcPr>
            <w:tcW w:w="18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ind w:right="120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272,521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Amortization expense was $1,384,862 and $7,657,669 for the years ended December 31, 2023 and 2022, respectively. These amounts are included in cost of revenues in the accompanying consolidated statements of operations and comprehensive income (loss). The weighted average remaining useful life for which amortization expense will be recognized is 1.0 years as of December 31, 2023. Future amortization expense of intangible assets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440" w:type="dxa"/>
            <w:vAlign w:val="bottom"/>
          </w:tcPr>
          <w:p>
            <w:pPr>
              <w:spacing w:after="0"/>
              <w:rPr>
                <w:sz w:val="18"/>
                <w:szCs w:val="18"/>
                <w:color w:val="auto"/>
              </w:rPr>
            </w:pP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88"/>
        </w:trPr>
        <w:tc>
          <w:tcPr>
            <w:tcW w:w="8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87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r>
      <w:tr>
        <w:trPr>
          <w:trHeight w:val="188"/>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87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Pr>
          <w:p>
            <w:pPr>
              <w:spacing w:after="0"/>
              <w:rPr>
                <w:sz w:val="17"/>
                <w:szCs w:val="17"/>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270,886</w:t>
            </w:r>
          </w:p>
        </w:tc>
      </w:tr>
      <w:tr>
        <w:trPr>
          <w:trHeight w:val="200"/>
        </w:trPr>
        <w:tc>
          <w:tcPr>
            <w:tcW w:w="87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ACCOUNTS PAYABLE — RELATED PARTIES</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 xml:space="preserve">Accounts payable due to related parties represents payables in the ordinary course of business primarily for purchases of game distribution licenses and also the royalties due to Suzhou Snail and SDE. As of December 31, 2023 and 2022, the Company had $18,147,958 and $19,918,259, respectively, as accounts payable due to Suzhou Snail; and $4,946,478, as net accounts payable due to SDE as of December 31, 2023, see Note 5 — </w:t>
      </w:r>
      <w:r>
        <w:rPr>
          <w:rFonts w:ascii="Times New Roman" w:cs="Times New Roman" w:eastAsia="Times New Roman" w:hAnsi="Times New Roman"/>
          <w:sz w:val="16"/>
          <w:szCs w:val="16"/>
          <w:i w:val="1"/>
          <w:iCs w:val="1"/>
          <w:color w:val="auto"/>
        </w:rPr>
        <w:t>Accounts Receivable (Payable) — Related Parties</w:t>
      </w:r>
      <w:r>
        <w:rPr>
          <w:rFonts w:ascii="Times New Roman" w:cs="Times New Roman" w:eastAsia="Times New Roman" w:hAnsi="Times New Roman"/>
          <w:sz w:val="16"/>
          <w:szCs w:val="16"/>
          <w:color w:val="auto"/>
        </w:rPr>
        <w:t>. During the years ended December 31, 2023 and 2022, the Company incurred $279,699 and $404,347, respectively as license costs due to Suzhou Snail and included in cost of revenues. During the years ended December 31, 2023 and 2022, respectively, there were $2,050,000 and $4,219,660 in payments to Suzhou Snail for royalties. Accounts payable – related parties consisted of the following as of December 31, 2023, and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 Suzhou</w:t>
            </w:r>
          </w:p>
        </w:tc>
        <w:tc>
          <w:tcPr>
            <w:tcW w:w="22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55,762,870</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57,533,171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8"/>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Less: accounts receivable - Suzhou</w:t>
            </w:r>
          </w:p>
        </w:tc>
        <w:tc>
          <w:tcPr>
            <w:tcW w:w="2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6"/>
              </w:rPr>
              <w:t>(37,614,912)</w:t>
            </w:r>
          </w:p>
        </w:tc>
        <w:tc>
          <w:tcPr>
            <w:tcW w:w="440" w:type="dxa"/>
            <w:vAlign w:val="bottom"/>
          </w:tcPr>
          <w:p>
            <w:pPr>
              <w:spacing w:after="0"/>
              <w:rPr>
                <w:sz w:val="16"/>
                <w:szCs w:val="16"/>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(37,614,912)</w:t>
            </w:r>
          </w:p>
        </w:tc>
      </w:tr>
      <w:tr>
        <w:trPr>
          <w:trHeight w:val="22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 SDE</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4,946,478</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r>
      <w:tr>
        <w:trPr>
          <w:trHeight w:val="183"/>
        </w:trPr>
        <w:tc>
          <w:tcPr>
            <w:tcW w:w="47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accounts payable – related parties</w:t>
            </w:r>
          </w:p>
        </w:tc>
        <w:tc>
          <w:tcPr>
            <w:tcW w:w="2260" w:type="dxa"/>
            <w:vAlign w:val="bottom"/>
            <w:tcBorders>
              <w:top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23,094,436</w:t>
            </w:r>
          </w:p>
        </w:tc>
        <w:tc>
          <w:tcPr>
            <w:tcW w:w="32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19,918,259</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4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LOAN AND INTEREST RECEIVABLE — RELATED PARTY</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In February 2021, the Company loaned $200,000 to a wholly owned subsidiary of Suzhou Snail. The loan bears 2.0% per annum interest, interest and principal are due in February 2022. In February 2022, Suzhou Snail signed an agreement with this subsidiary and assumed the loan and related interest for a total of $203,890. Subsequently, $103,890 was offset against the loan and interest payable owed to Suzhou Snail on a separate note. Please refer to Note 14 — </w:t>
      </w:r>
      <w:r>
        <w:rPr>
          <w:rFonts w:ascii="Times New Roman" w:cs="Times New Roman" w:eastAsia="Times New Roman" w:hAnsi="Times New Roman"/>
          <w:sz w:val="16"/>
          <w:szCs w:val="16"/>
          <w:i w:val="1"/>
          <w:iCs w:val="1"/>
          <w:color w:val="auto"/>
        </w:rPr>
        <w:t>Loan Payable and Interest Payable — Related Parties</w:t>
      </w:r>
      <w:r>
        <w:rPr>
          <w:rFonts w:ascii="Times New Roman" w:cs="Times New Roman" w:eastAsia="Times New Roman" w:hAnsi="Times New Roman"/>
          <w:sz w:val="16"/>
          <w:szCs w:val="16"/>
          <w:color w:val="auto"/>
        </w:rPr>
        <w:t>. The total amount of loan and interest receivable — related party was $103,753 and $101,753, as of December 31, 2023 and 2022, respectively. The Company earned $2,000 and $1,753 in interest on the related party loans receivable during the years ended December 31, 2023 and 2022,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LOAN PAYABLE AND INTEREST PAYABLE — RELATED PARTIES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The Company had a loan amount due to related parties of $400,000 bearing 2.0% per annum interest. $300,000 of the loan is from a wholly owned subsidiary of Suzhou Snail and due in June 2022, and $100,000 is from Suzhou Snail and was due in December 2023. The $100,000 loan along with $3,890 interest payable to Suzhou Snail was offset by the loan receivable Suzhou Snail assumed in February 2022. Please refer to Note 13 — </w:t>
      </w:r>
      <w:r>
        <w:rPr>
          <w:rFonts w:ascii="Times New Roman" w:cs="Times New Roman" w:eastAsia="Times New Roman" w:hAnsi="Times New Roman"/>
          <w:sz w:val="16"/>
          <w:szCs w:val="16"/>
          <w:i w:val="1"/>
          <w:iCs w:val="1"/>
          <w:color w:val="auto"/>
        </w:rPr>
        <w:t>Loan and Interest Receivable — Related Party</w:t>
      </w:r>
      <w:r>
        <w:rPr>
          <w:rFonts w:ascii="Times New Roman" w:cs="Times New Roman" w:eastAsia="Times New Roman" w:hAnsi="Times New Roman"/>
          <w:sz w:val="16"/>
          <w:szCs w:val="16"/>
          <w:color w:val="auto"/>
        </w:rPr>
        <w:t>. In July 2022, the Company paid off the outstanding principal balance of $300,000.</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and 2022, the total loan payable — related parties amounted to $0 and total unpaid interest amounted to $527,770, as of December 31, 2023 and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for the loans payable to related parties were $0 and $3,222 during the years ended December 31, 2023 and 2022,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15 – REVOLVING LOAN, SHORT TERM NOTES AND LONG - TERM DEBT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2"/>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24"/>
                <w:szCs w:val="24"/>
                <w:color w:val="auto"/>
              </w:rPr>
            </w:pP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60"/>
        </w:trPr>
        <w:tc>
          <w:tcPr>
            <w:tcW w:w="686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99"/>
              </w:rPr>
              <w:t xml:space="preserve">2021 Revolving Loan </w:t>
            </w:r>
            <w:r>
              <w:rPr>
                <w:rFonts w:ascii="Times New Roman" w:cs="Times New Roman" w:eastAsia="Times New Roman" w:hAnsi="Times New Roman"/>
                <w:sz w:val="16"/>
                <w:szCs w:val="16"/>
                <w:color w:val="auto"/>
                <w:w w:val="99"/>
              </w:rPr>
              <w:t>- On June 21, 2023, the Company amended its revolving loan agreement (“amended</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revolver”) and decreased the maximum balance from $9,000,000 to $6,000,000. The amended revolver</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matures on December 31, 2024 and has an annual interest rate equal to the prime rate less 0.25%. At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 the interest rate on this loan was 8.25%. The revolver was secured by certificate of</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deposit accounts held with the financial institution in the amount of $5,262,627 at December 31, 2022, and</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that were released in accordance with the 2023 amendment. Debt covenants of this loan require the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to maintain a minimum debt service coverage ratio of at least 1.5 to 1. The Company was not in</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compliance with the debt service coverage ratio for the twelve month period ended December 31, 2023 and</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5"/>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received a waiver from the lender for the year ended December 31, 2023.</w:t>
            </w:r>
          </w:p>
        </w:tc>
        <w:tc>
          <w:tcPr>
            <w:tcW w:w="3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9,000,000</w:t>
            </w:r>
          </w:p>
        </w:tc>
      </w:tr>
      <w:tr>
        <w:trPr>
          <w:trHeight w:val="172"/>
        </w:trPr>
        <w:tc>
          <w:tcPr>
            <w:tcW w:w="686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2021 Promissory Note </w:t>
            </w:r>
            <w:r>
              <w:rPr>
                <w:rFonts w:ascii="Times New Roman" w:cs="Times New Roman" w:eastAsia="Times New Roman" w:hAnsi="Times New Roman"/>
                <w:sz w:val="16"/>
                <w:szCs w:val="16"/>
                <w:color w:val="auto"/>
              </w:rPr>
              <w:t>- On June 17, 2021, the Company amended its loan agreement to reduce the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principal amount with financial institution for 10 years, annual interest rate of 3.5% for the first 5 years,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and then floating at Wall Street Journal rate from years 6 to 10, the loan is secured by the Company’s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building, with a carrying value of $4.2 million, a market value of $5.3 million, and matures on 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2031. The note is subject to a prepayment penalty. Debt covenants of this loan require the Company to</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maintain a minimum debt service coverage ratio of at least 1.5 to 1. The Company was not in compliance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with the debt service coverage ratio for the twelve month period ended December 31, 2023 and received a</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waiver from the lender for the year ended December 31, 2023.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2,811,923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2,891,820</w:t>
            </w:r>
          </w:p>
        </w:tc>
      </w:tr>
      <w:tr>
        <w:trPr>
          <w:trHeight w:val="173"/>
        </w:trPr>
        <w:tc>
          <w:tcPr>
            <w:tcW w:w="68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 xml:space="preserve">2022 Short Term Note </w:t>
            </w:r>
            <w:r>
              <w:rPr>
                <w:rFonts w:ascii="Times New Roman" w:cs="Times New Roman" w:eastAsia="Times New Roman" w:hAnsi="Times New Roman"/>
                <w:sz w:val="16"/>
                <w:szCs w:val="16"/>
                <w:color w:val="auto"/>
              </w:rPr>
              <w:t>- On January 26, 2022, the Company amended its revolving loan and long-term</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agreements to obtain an additional note with a principal balance of $10,000,000 which was originally</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 to mature on January 26, 2023. Interest shall be equal to the higher of 3.75% or the Wall Street Journal</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Prime Rate plus 0.50%. The loan is secured by the Company’s assets. In the event of a default, all</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amounts under the note will bear interest at a default rate equal to 5% over the note rate. Debt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covenants of this loan require the Company to maintain a minimum debt service coverage ratio of at least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1.5 to 1 and will be measured quarterly. The Company was not in compliance with the debt service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coverage ratio for the twelve month period ended December 31, 2023 and received a waiver from the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lender for the year. In November 2022, the maturity was extended to January 26, 2024 and the interest rate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amended to the higher of the Wall Street Journal Prime Rate less 0.25%, or 5.75%. At December 31, 2023,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5"/>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interest rate on this loan was 8.25%.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833,333</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5,833,333</w:t>
            </w:r>
          </w:p>
        </w:tc>
      </w:tr>
      <w:tr>
        <w:trPr>
          <w:trHeight w:val="172"/>
        </w:trPr>
        <w:tc>
          <w:tcPr>
            <w:tcW w:w="686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2023 Convertible Notes </w:t>
            </w:r>
            <w:r>
              <w:rPr>
                <w:rFonts w:ascii="Times New Roman" w:cs="Times New Roman" w:eastAsia="Times New Roman" w:hAnsi="Times New Roman"/>
                <w:sz w:val="16"/>
                <w:szCs w:val="16"/>
                <w:color w:val="auto"/>
              </w:rPr>
              <w:t>– On August 24, 2023, the Company issued convertible notes at a 7.4% discount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and a principal balance of $1,080,000. The notes have an interest rate of 7.5%, will be paid in consecutive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monthly installments beginning February 24, 2024 and will mature on May 24, 2024. In the event of a</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default the interest rate will be increased to the lower of 16% per annum or the highest amount permitted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by applicable law. The Company has the option to prepay the notes at any time and the note holders have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the option to convert the notes, in whole or in part, at any time. The Company recognized a discount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w w:val="99"/>
              </w:rPr>
              <w:t>$678,254 on the notes to account for the stated discount, the fair value of the warrants issued in connection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with the notes and the costs of issuance. The discount is amortized using the effective interest rate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797,361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1"/>
        </w:trPr>
        <w:tc>
          <w:tcPr>
            <w:tcW w:w="68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2023 Note Payable – </w:t>
            </w:r>
            <w:r>
              <w:rPr>
                <w:rFonts w:ascii="Times New Roman" w:cs="Times New Roman" w:eastAsia="Times New Roman" w:hAnsi="Times New Roman"/>
                <w:sz w:val="16"/>
                <w:szCs w:val="16"/>
                <w:color w:val="auto"/>
              </w:rPr>
              <w:t>In July 2023, the Company entered into a cooperation agreement with its internet,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server and datacenter vendor. The Company agreed to make the vendor the official server host of </w:t>
            </w:r>
            <w:r>
              <w:rPr>
                <w:rFonts w:ascii="Times New Roman" w:cs="Times New Roman" w:eastAsia="Times New Roman" w:hAnsi="Times New Roman"/>
                <w:sz w:val="16"/>
                <w:szCs w:val="16"/>
                <w:i w:val="1"/>
                <w:iCs w:val="1"/>
                <w:color w:val="auto"/>
              </w:rPr>
              <w:t>Ark:</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 xml:space="preserve">Survival Evolved </w:t>
            </w:r>
            <w:r>
              <w:rPr>
                <w:rFonts w:ascii="Times New Roman" w:cs="Times New Roman" w:eastAsia="Times New Roman" w:hAnsi="Times New Roman"/>
                <w:sz w:val="16"/>
                <w:szCs w:val="16"/>
                <w:color w:val="auto"/>
              </w:rPr>
              <w:t>and future iterations and sequels of the game for a period of 7 years. In return the vendor</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has agreed to provide the Company with funds in cash of up to $3.0 million without discount and free of</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charges and costs to the Company. The Company drew on the full $3.0 million during the year ended</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 The funds are repaid in monthly installments starting in November 2023 and are to be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based on 20% of the gross monthly </w:t>
            </w:r>
            <w:r>
              <w:rPr>
                <w:rFonts w:ascii="Times New Roman" w:cs="Times New Roman" w:eastAsia="Times New Roman" w:hAnsi="Times New Roman"/>
                <w:sz w:val="16"/>
                <w:szCs w:val="16"/>
                <w:i w:val="1"/>
                <w:iCs w:val="1"/>
                <w:color w:val="auto"/>
              </w:rPr>
              <w:t>ARK: Survival Ascended</w:t>
            </w:r>
            <w:r>
              <w:rPr>
                <w:rFonts w:ascii="Times New Roman" w:cs="Times New Roman" w:eastAsia="Times New Roman" w:hAnsi="Times New Roman"/>
                <w:sz w:val="16"/>
                <w:szCs w:val="16"/>
                <w:color w:val="auto"/>
              </w:rPr>
              <w:t xml:space="preserve"> revenues. The Company has imputed interest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8.0% on draws made. If in default, the interest rate is levied on the outstanding balances at a rate of</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12.0% per annum.</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6860" w:type="dxa"/>
            <w:vAlign w:val="bottom"/>
            <w:tcBorders>
              <w:top w:val="single" w:sz="8" w:color="CCEEFF"/>
            </w:tcBorders>
          </w:tcPr>
          <w:p>
            <w:pPr>
              <w:ind w:left="160"/>
              <w:spacing w:after="0" w:line="172" w:lineRule="exact"/>
              <w:rPr>
                <w:sz w:val="20"/>
                <w:szCs w:val="20"/>
                <w:color w:val="auto"/>
              </w:rPr>
            </w:pPr>
            <w:r>
              <w:rPr>
                <w:rFonts w:ascii="Times New Roman" w:cs="Times New Roman" w:eastAsia="Times New Roman" w:hAnsi="Times New Roman"/>
                <w:sz w:val="16"/>
                <w:szCs w:val="16"/>
                <w:color w:val="auto"/>
              </w:rPr>
              <w:t>Total debt of $12,225,256, net of a discount of $282,639 at December 31, 2023</w:t>
            </w: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11,942,617</w:t>
            </w:r>
          </w:p>
        </w:tc>
        <w:tc>
          <w:tcPr>
            <w:tcW w:w="3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17,725,153</w:t>
            </w:r>
          </w:p>
        </w:tc>
        <w:tc>
          <w:tcPr>
            <w:tcW w:w="120" w:type="dxa"/>
            <w:vAlign w:val="bottom"/>
            <w:tcBorders>
              <w:top w:val="single" w:sz="8" w:color="CCEEFF"/>
            </w:tcBorders>
          </w:tcPr>
          <w:p>
            <w:pPr>
              <w:spacing w:after="0"/>
              <w:rPr>
                <w:sz w:val="14"/>
                <w:szCs w:val="14"/>
                <w:color w:val="auto"/>
              </w:rPr>
            </w:pPr>
          </w:p>
        </w:tc>
      </w:tr>
      <w:tr>
        <w:trPr>
          <w:trHeight w:val="188"/>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current portion of promissory note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2,811,923</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86,524</w:t>
            </w:r>
          </w:p>
        </w:tc>
      </w:tr>
      <w:tr>
        <w:trPr>
          <w:trHeight w:val="188"/>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revolving loan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9,000,000</w:t>
            </w:r>
          </w:p>
        </w:tc>
      </w:tr>
      <w:tr>
        <w:trPr>
          <w:trHeight w:val="188"/>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notes payable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2,333,333</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5,416,666</w:t>
            </w:r>
          </w:p>
        </w:tc>
      </w:tr>
      <w:tr>
        <w:trPr>
          <w:trHeight w:val="20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convertible notes, net of discount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797,361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6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long-term debt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3,221,963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Total interest expense for the above debt and revolver loan amounted to $1,485,241 and $895,761 for the years ended December 31, 2023 and 2022, respectively. Accretion of the convertible notes and amortization of loan origination expenses and loan discounts of $462,284 and $26,514 are included as part of interest expense for the years ended December 31, 2023 and 2022, respectively. As a result of the amendment to the revolving loan on June 21, 2023, the Company recognized $2,903 as additional amortization of loan origination expenses during the year ended December 31, 2023. The Company has a weighted average interest rate of 8.1% and 6.9% on its short-term obligations as of December 31, 2023 and 2022, respectively. The Company’s average dollar amount of short-term obligations during the years ended December 31, 2023 and 2022, were $12,002,949 and $11,898,434, respectively. Average interest and amortization of debt discounts and issuance costs over the two years presented, on the short term obligations, was $959,359 and $244,399, respectively. The Company is in compliance with, or received waivers for, its debt covenant requirement of maintaining a 1.5 to 1 ratio of trailing twelve month EBITDA to the previous twelve months principal and interest payments on all debt maintained with the lender, as of December 31, 2023 and 2022.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83" w:name="page84"/>
    <w:bookmarkEnd w:id="8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6300" w:type="dxa"/>
            <w:vAlign w:val="bottom"/>
          </w:tcPr>
          <w:p>
            <w:pPr>
              <w:ind w:left="4180"/>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6960" w:type="dxa"/>
            <w:vAlign w:val="bottom"/>
            <w:gridSpan w:val="2"/>
          </w:tcPr>
          <w:p>
            <w:pPr>
              <w:ind w:left="36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provides future minimum payments of its long-term debt as of December 31:</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6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9,502,708</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86,013</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89,115</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92,329</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95,414</w:t>
            </w: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2,359,677</w:t>
            </w: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63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12,225,256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16 – INCOME TAXES</w:t>
            </w: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68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752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8"/>
              </w:rPr>
              <w:t>The components of income (loss) before income taxes for the years ended December 31, 2023 and 2022 are as follows: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63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66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(11,666,676)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(1,587,477)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660" w:type="dxa"/>
            <w:vAlign w:val="bottom"/>
          </w:tcPr>
          <w:p>
            <w:pPr>
              <w:spacing w:after="0"/>
              <w:rPr>
                <w:sz w:val="17"/>
                <w:szCs w:val="17"/>
                <w:color w:val="auto"/>
              </w:rPr>
            </w:pPr>
          </w:p>
        </w:tc>
        <w:tc>
          <w:tcPr>
            <w:tcW w:w="116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color w:val="auto"/>
              </w:rPr>
              <w:t>171,600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135,232</w:t>
            </w: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63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(11,495,076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(1,452,245</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 income tax benefit for the years ended December 31, 2023 and 2022 are as follows:</w:t>
            </w: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68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63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U.S. federal</w:t>
            </w:r>
          </w:p>
        </w:tc>
        <w:tc>
          <w:tcPr>
            <w:tcW w:w="66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color w:val="auto"/>
              </w:rPr>
              <w:t>112,344</w:t>
            </w:r>
          </w:p>
        </w:tc>
        <w:tc>
          <w:tcPr>
            <w:tcW w:w="480" w:type="dxa"/>
            <w:vAlign w:val="bottom"/>
            <w:gridSpan w:val="2"/>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(499,784)</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State</w:t>
            </w:r>
          </w:p>
        </w:tc>
        <w:tc>
          <w:tcPr>
            <w:tcW w:w="66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82,595</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(2,535,117)</w:t>
            </w: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660" w:type="dxa"/>
            <w:vAlign w:val="bottom"/>
          </w:tcPr>
          <w:p>
            <w:pPr>
              <w:spacing w:after="0"/>
              <w:rPr>
                <w:sz w:val="17"/>
                <w:szCs w:val="17"/>
                <w:color w:val="auto"/>
              </w:rPr>
            </w:pPr>
          </w:p>
        </w:tc>
        <w:tc>
          <w:tcPr>
            <w:tcW w:w="116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color w:val="auto"/>
              </w:rPr>
              <w:t>49,373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income taxes</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(3,034,901</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2"/>
        </w:trPr>
        <w:tc>
          <w:tcPr>
            <w:tcW w:w="560" w:type="dxa"/>
            <w:vAlign w:val="bottom"/>
          </w:tcPr>
          <w:p>
            <w:pPr>
              <w:spacing w:after="0"/>
              <w:rPr>
                <w:sz w:val="14"/>
                <w:szCs w:val="14"/>
                <w:color w:val="auto"/>
              </w:rPr>
            </w:pPr>
          </w:p>
        </w:tc>
        <w:tc>
          <w:tcPr>
            <w:tcW w:w="63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Deferred:</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federal</w:t>
            </w:r>
          </w:p>
        </w:tc>
        <w:tc>
          <w:tcPr>
            <w:tcW w:w="66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(2,577,737)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602,102</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U.S. State</w:t>
            </w:r>
          </w:p>
        </w:tc>
        <w:tc>
          <w:tcPr>
            <w:tcW w:w="66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(67,227)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(11,686)</w:t>
            </w:r>
          </w:p>
        </w:tc>
        <w:tc>
          <w:tcPr>
            <w:tcW w:w="0" w:type="dxa"/>
            <w:vAlign w:val="bottom"/>
          </w:tcPr>
          <w:p>
            <w:pPr>
              <w:spacing w:after="0"/>
              <w:rPr>
                <w:sz w:val="1"/>
                <w:szCs w:val="1"/>
                <w:color w:val="auto"/>
              </w:rPr>
            </w:pPr>
          </w:p>
        </w:tc>
      </w:tr>
      <w:tr>
        <w:trPr>
          <w:trHeight w:val="220"/>
        </w:trPr>
        <w:tc>
          <w:tcPr>
            <w:tcW w:w="560" w:type="dxa"/>
            <w:vAlign w:val="bottom"/>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w:t>
            </w:r>
          </w:p>
        </w:tc>
        <w:tc>
          <w:tcPr>
            <w:tcW w:w="6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(1,938)</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6300" w:type="dxa"/>
            <w:vAlign w:val="bottom"/>
            <w:tcBorders>
              <w:top w:val="single" w:sz="8" w:color="CCEEFF"/>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Total deferred income taxes</w:t>
            </w:r>
          </w:p>
        </w:tc>
        <w:tc>
          <w:tcPr>
            <w:tcW w:w="6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gridSpan w:val="2"/>
          </w:tcPr>
          <w:p>
            <w:pPr>
              <w:jc w:val="right"/>
              <w:spacing w:after="0" w:line="171" w:lineRule="exact"/>
              <w:rPr>
                <w:sz w:val="20"/>
                <w:szCs w:val="20"/>
                <w:color w:val="auto"/>
              </w:rPr>
            </w:pPr>
            <w:r>
              <w:rPr>
                <w:rFonts w:ascii="Times New Roman" w:cs="Times New Roman" w:eastAsia="Times New Roman" w:hAnsi="Times New Roman"/>
                <w:sz w:val="16"/>
                <w:szCs w:val="16"/>
                <w:color w:val="auto"/>
              </w:rPr>
              <w:t>(2,644,964</w:t>
            </w:r>
          </w:p>
        </w:tc>
        <w:tc>
          <w:tcPr>
            <w:tcW w:w="100" w:type="dxa"/>
            <w:vAlign w:val="bottom"/>
            <w:tcBorders>
              <w:top w:val="single" w:sz="8" w:color="CCEEFF"/>
              <w:bottom w:val="single" w:sz="8" w:color="CCEEFF"/>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588,478</w:t>
            </w:r>
          </w:p>
        </w:tc>
        <w:tc>
          <w:tcPr>
            <w:tcW w:w="8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660" w:type="dxa"/>
            <w:vAlign w:val="bottom"/>
            <w:tcBorders>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(2,400,652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(2,446,423</w:t>
            </w:r>
          </w:p>
        </w:tc>
        <w:tc>
          <w:tcPr>
            <w:tcW w:w="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benefits for income taxes differs from the amounts computed by applying the federal statutory tax rate of 21.0% to earnings before income taxes,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608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18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statutory income tax rate</w:t>
            </w:r>
          </w:p>
        </w:tc>
        <w:tc>
          <w:tcPr>
            <w:tcW w:w="214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21.00%</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21.00%</w:t>
            </w:r>
          </w:p>
        </w:tc>
      </w:tr>
      <w:tr>
        <w:trPr>
          <w:trHeight w:val="188"/>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214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(1.21)%</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58.33%</w:t>
            </w:r>
          </w:p>
        </w:tc>
      </w:tr>
      <w:tr>
        <w:trPr>
          <w:trHeight w:val="18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 48</w:t>
            </w:r>
          </w:p>
        </w:tc>
        <w:tc>
          <w:tcPr>
            <w:tcW w:w="214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1.13%</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5.21%</w:t>
            </w:r>
          </w:p>
        </w:tc>
      </w:tr>
      <w:tr>
        <w:trPr>
          <w:trHeight w:val="188"/>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Return to provision</w:t>
            </w:r>
          </w:p>
        </w:tc>
        <w:tc>
          <w:tcPr>
            <w:tcW w:w="214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(0.78)%</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17.27%</w:t>
            </w:r>
          </w:p>
        </w:tc>
      </w:tr>
      <w:tr>
        <w:trPr>
          <w:trHeight w:val="18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refund benefit</w:t>
            </w:r>
          </w:p>
        </w:tc>
        <w:tc>
          <w:tcPr>
            <w:tcW w:w="214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130.84%</w:t>
            </w:r>
          </w:p>
        </w:tc>
      </w:tr>
      <w:tr>
        <w:trPr>
          <w:trHeight w:val="188"/>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Change in subsidiary tax status</w:t>
            </w:r>
          </w:p>
        </w:tc>
        <w:tc>
          <w:tcPr>
            <w:tcW w:w="214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(73.52)%</w:t>
            </w:r>
          </w:p>
        </w:tc>
      </w:tr>
      <w:tr>
        <w:trPr>
          <w:trHeight w:val="18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PPP loan</w:t>
            </w:r>
          </w:p>
        </w:tc>
        <w:tc>
          <w:tcPr>
            <w:tcW w:w="214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2.45%</w:t>
            </w:r>
          </w:p>
        </w:tc>
      </w:tr>
      <w:tr>
        <w:trPr>
          <w:trHeight w:val="188"/>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GILTI</w:t>
            </w:r>
          </w:p>
        </w:tc>
        <w:tc>
          <w:tcPr>
            <w:tcW w:w="214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(0.43)%</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18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taxes</w:t>
            </w:r>
          </w:p>
        </w:tc>
        <w:tc>
          <w:tcPr>
            <w:tcW w:w="21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(0.10)%</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2.94%</w:t>
            </w:r>
          </w:p>
        </w:tc>
      </w:tr>
      <w:tr>
        <w:trPr>
          <w:trHeight w:val="188"/>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Foreign withholding tax</w:t>
            </w:r>
          </w:p>
        </w:tc>
        <w:tc>
          <w:tcPr>
            <w:tcW w:w="214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(0.43)%</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R&amp;D credit true-up</w:t>
            </w:r>
          </w:p>
        </w:tc>
        <w:tc>
          <w:tcPr>
            <w:tcW w:w="214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1.76%</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2.84%</w:t>
            </w:r>
          </w:p>
        </w:tc>
      </w:tr>
      <w:tr>
        <w:trPr>
          <w:trHeight w:val="188"/>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Rate change</w:t>
            </w:r>
          </w:p>
        </w:tc>
        <w:tc>
          <w:tcPr>
            <w:tcW w:w="214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(0.02)%</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1.82%</w:t>
            </w:r>
          </w:p>
        </w:tc>
      </w:tr>
      <w:tr>
        <w:trPr>
          <w:trHeight w:val="22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1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(0.04)%</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1.10%</w:t>
            </w:r>
          </w:p>
        </w:tc>
      </w:tr>
      <w:tr>
        <w:trPr>
          <w:trHeight w:val="183"/>
        </w:trPr>
        <w:tc>
          <w:tcPr>
            <w:tcW w:w="6080" w:type="dxa"/>
            <w:vAlign w:val="bottom"/>
            <w:tcBorders>
              <w:top w:val="single" w:sz="8" w:color="CCEEFF"/>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400" w:type="dxa"/>
            <w:vAlign w:val="bottom"/>
            <w:tcBorders>
              <w:top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168.48</w:t>
            </w:r>
          </w:p>
        </w:tc>
        <w:tc>
          <w:tcPr>
            <w:tcW w:w="2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60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Company recognized an income tax benefit of $2,400,652 and $2,446,423 for the years ended December 31, 2023 and 2022, respectively. The Company’s effective tax rates were 20.9% and 168.5%, for the years ended December 31, 2023 and 2022, respectively. As of December 31, 2023 the Company’s effective tax rate differed from the federal statutory rate of 21% primarily as a result of decreases in uncertain tax positions, changes in the valuation allowance on deferred tax assets, and foreign research and development deductions.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tax effects of temporary differences that give rise to significant portions of the deferred tax assets and liabilities consisted of the following as of December 31, 2023 and 2022:</w:t>
      </w:r>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63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18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 (noncurrent):</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losses</w:t>
            </w:r>
          </w:p>
        </w:tc>
        <w:tc>
          <w:tcPr>
            <w:tcW w:w="102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9,941,478</w:t>
            </w:r>
          </w:p>
        </w:tc>
        <w:tc>
          <w:tcPr>
            <w:tcW w:w="380" w:type="dxa"/>
            <w:vAlign w:val="bottom"/>
            <w:gridSpan w:val="2"/>
          </w:tcPr>
          <w:p>
            <w:pPr>
              <w:jc w:val="right"/>
              <w:ind w:right="298"/>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6,884,595</w:t>
            </w:r>
          </w:p>
        </w:tc>
        <w:tc>
          <w:tcPr>
            <w:tcW w:w="60" w:type="dxa"/>
            <w:vAlign w:val="bottom"/>
          </w:tcPr>
          <w:p>
            <w:pPr>
              <w:spacing w:after="0"/>
              <w:rPr>
                <w:sz w:val="16"/>
                <w:szCs w:val="16"/>
                <w:color w:val="auto"/>
              </w:rPr>
            </w:pPr>
          </w:p>
        </w:tc>
      </w:tr>
      <w:tr>
        <w:trPr>
          <w:trHeight w:val="18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1,564,708</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2,003,812</w:t>
            </w:r>
          </w:p>
        </w:tc>
        <w:tc>
          <w:tcPr>
            <w:tcW w:w="60" w:type="dxa"/>
            <w:vAlign w:val="bottom"/>
            <w:shd w:val="clear" w:color="auto" w:fill="CCEEFF"/>
          </w:tcPr>
          <w:p>
            <w:pPr>
              <w:spacing w:after="0"/>
              <w:rPr>
                <w:sz w:val="16"/>
                <w:szCs w:val="16"/>
                <w:color w:val="auto"/>
              </w:rPr>
            </w:pPr>
          </w:p>
        </w:tc>
      </w:tr>
      <w:tr>
        <w:trPr>
          <w:trHeight w:val="18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1020" w:type="dxa"/>
            <w:vAlign w:val="bottom"/>
          </w:tcPr>
          <w:p>
            <w:pPr>
              <w:spacing w:after="0"/>
              <w:rPr>
                <w:sz w:val="16"/>
                <w:szCs w:val="16"/>
                <w:color w:val="auto"/>
              </w:rPr>
            </w:pPr>
          </w:p>
        </w:tc>
        <w:tc>
          <w:tcPr>
            <w:tcW w:w="10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664,877</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494,777</w:t>
            </w:r>
          </w:p>
        </w:tc>
        <w:tc>
          <w:tcPr>
            <w:tcW w:w="60" w:type="dxa"/>
            <w:vAlign w:val="bottom"/>
          </w:tcPr>
          <w:p>
            <w:pPr>
              <w:spacing w:after="0"/>
              <w:rPr>
                <w:sz w:val="16"/>
                <w:szCs w:val="16"/>
                <w:color w:val="auto"/>
              </w:rPr>
            </w:pPr>
          </w:p>
        </w:tc>
      </w:tr>
      <w:tr>
        <w:trPr>
          <w:trHeight w:val="18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Book lease liability (ASC 842)</w:t>
            </w:r>
          </w:p>
        </w:tc>
        <w:tc>
          <w:tcPr>
            <w:tcW w:w="10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640,414</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937,968</w:t>
            </w:r>
          </w:p>
        </w:tc>
        <w:tc>
          <w:tcPr>
            <w:tcW w:w="60" w:type="dxa"/>
            <w:vAlign w:val="bottom"/>
            <w:shd w:val="clear" w:color="auto" w:fill="CCEEFF"/>
          </w:tcPr>
          <w:p>
            <w:pPr>
              <w:spacing w:after="0"/>
              <w:rPr>
                <w:sz w:val="16"/>
                <w:szCs w:val="16"/>
                <w:color w:val="auto"/>
              </w:rPr>
            </w:pPr>
          </w:p>
        </w:tc>
      </w:tr>
      <w:tr>
        <w:trPr>
          <w:trHeight w:val="18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Fixed assets and intangibles</w:t>
            </w:r>
          </w:p>
        </w:tc>
        <w:tc>
          <w:tcPr>
            <w:tcW w:w="1020" w:type="dxa"/>
            <w:vAlign w:val="bottom"/>
          </w:tcPr>
          <w:p>
            <w:pPr>
              <w:spacing w:after="0"/>
              <w:rPr>
                <w:sz w:val="16"/>
                <w:szCs w:val="16"/>
                <w:color w:val="auto"/>
              </w:rPr>
            </w:pPr>
          </w:p>
        </w:tc>
        <w:tc>
          <w:tcPr>
            <w:tcW w:w="10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286,902</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1,959,679</w:t>
            </w:r>
          </w:p>
        </w:tc>
        <w:tc>
          <w:tcPr>
            <w:tcW w:w="60" w:type="dxa"/>
            <w:vAlign w:val="bottom"/>
          </w:tcPr>
          <w:p>
            <w:pPr>
              <w:spacing w:after="0"/>
              <w:rPr>
                <w:sz w:val="16"/>
                <w:szCs w:val="16"/>
                <w:color w:val="auto"/>
              </w:rPr>
            </w:pPr>
          </w:p>
        </w:tc>
      </w:tr>
      <w:tr>
        <w:trPr>
          <w:trHeight w:val="18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174 capitalized research and experimental expenditures</w:t>
            </w:r>
          </w:p>
        </w:tc>
        <w:tc>
          <w:tcPr>
            <w:tcW w:w="10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2,101,923</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825,394</w:t>
            </w:r>
          </w:p>
        </w:tc>
        <w:tc>
          <w:tcPr>
            <w:tcW w:w="60" w:type="dxa"/>
            <w:vAlign w:val="bottom"/>
            <w:shd w:val="clear" w:color="auto" w:fill="CCEEFF"/>
          </w:tcPr>
          <w:p>
            <w:pPr>
              <w:spacing w:after="0"/>
              <w:rPr>
                <w:sz w:val="16"/>
                <w:szCs w:val="16"/>
                <w:color w:val="auto"/>
              </w:rPr>
            </w:pPr>
          </w:p>
        </w:tc>
      </w:tr>
      <w:tr>
        <w:trPr>
          <w:trHeight w:val="18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Interest limitation carryforward</w:t>
            </w:r>
          </w:p>
        </w:tc>
        <w:tc>
          <w:tcPr>
            <w:tcW w:w="1020" w:type="dxa"/>
            <w:vAlign w:val="bottom"/>
          </w:tcPr>
          <w:p>
            <w:pPr>
              <w:spacing w:after="0"/>
              <w:rPr>
                <w:sz w:val="16"/>
                <w:szCs w:val="16"/>
                <w:color w:val="auto"/>
              </w:rPr>
            </w:pPr>
          </w:p>
        </w:tc>
        <w:tc>
          <w:tcPr>
            <w:tcW w:w="10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329,383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30,944</w:t>
            </w:r>
          </w:p>
        </w:tc>
      </w:tr>
      <w:tr>
        <w:trPr>
          <w:trHeight w:val="18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234,110</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48,678</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tcPr>
          <w:p>
            <w:pPr>
              <w:spacing w:after="0"/>
              <w:rPr>
                <w:sz w:val="17"/>
                <w:szCs w:val="17"/>
                <w:color w:val="auto"/>
              </w:rPr>
            </w:pPr>
          </w:p>
        </w:tc>
        <w:tc>
          <w:tcPr>
            <w:tcW w:w="10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960,471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1,006,040</w:t>
            </w:r>
          </w:p>
        </w:tc>
        <w:tc>
          <w:tcPr>
            <w:tcW w:w="60" w:type="dxa"/>
            <w:vAlign w:val="bottom"/>
          </w:tcPr>
          <w:p>
            <w:pPr>
              <w:spacing w:after="0"/>
              <w:rPr>
                <w:sz w:val="17"/>
                <w:szCs w:val="17"/>
                <w:color w:val="auto"/>
              </w:rPr>
            </w:pPr>
          </w:p>
        </w:tc>
      </w:tr>
      <w:tr>
        <w:trPr>
          <w:trHeight w:val="208"/>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16,724,266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14,191,887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2"/>
        </w:trPr>
        <w:tc>
          <w:tcPr>
            <w:tcW w:w="63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Deferred tax liabilities (noncurrent):</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Book ROU assets (ASC 842)</w:t>
            </w:r>
          </w:p>
        </w:tc>
        <w:tc>
          <w:tcPr>
            <w:tcW w:w="10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(533,369)</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(786,350)</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Basis difference in subsidiary</w:t>
            </w:r>
          </w:p>
        </w:tc>
        <w:tc>
          <w:tcPr>
            <w:tcW w:w="1020" w:type="dxa"/>
            <w:vAlign w:val="bottom"/>
          </w:tcPr>
          <w:p>
            <w:pPr>
              <w:spacing w:after="0"/>
              <w:rPr>
                <w:sz w:val="17"/>
                <w:szCs w:val="17"/>
                <w:color w:val="auto"/>
              </w:rPr>
            </w:pPr>
          </w:p>
        </w:tc>
        <w:tc>
          <w:tcPr>
            <w:tcW w:w="102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(799,595)</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(797,806)</w:t>
            </w:r>
          </w:p>
        </w:tc>
      </w:tr>
      <w:tr>
        <w:trPr>
          <w:trHeight w:val="208"/>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(1,332,964</w:t>
            </w:r>
          </w:p>
        </w:tc>
        <w:tc>
          <w:tcPr>
            <w:tcW w:w="320" w:type="dxa"/>
            <w:vAlign w:val="bottom"/>
            <w:tcBorders>
              <w:top w:val="single" w:sz="8" w:color="CCEEFF"/>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(1,584,156</w:t>
            </w:r>
          </w:p>
        </w:tc>
        <w:tc>
          <w:tcPr>
            <w:tcW w:w="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r>
      <w:tr>
        <w:trPr>
          <w:trHeight w:val="172"/>
        </w:trPr>
        <w:tc>
          <w:tcPr>
            <w:tcW w:w="63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Long-term deferred tax asset</w:t>
            </w:r>
          </w:p>
        </w:tc>
        <w:tc>
          <w:tcPr>
            <w:tcW w:w="102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w w:val="94"/>
              </w:rPr>
              <w:t>15,391,302</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12,607,731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10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(5,143,802)</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(5,005,195)</w:t>
            </w:r>
          </w:p>
        </w:tc>
      </w:tr>
      <w:tr>
        <w:trPr>
          <w:trHeight w:val="183"/>
        </w:trPr>
        <w:tc>
          <w:tcPr>
            <w:tcW w:w="6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deferred tax asset</w:t>
            </w:r>
          </w:p>
        </w:tc>
        <w:tc>
          <w:tcPr>
            <w:tcW w:w="1020" w:type="dxa"/>
            <w:vAlign w:val="bottom"/>
            <w:tcBorders>
              <w:top w:val="single" w:sz="8" w:color="auto"/>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10,247,500</w:t>
            </w: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4"/>
                <w:szCs w:val="4"/>
                <w:color w:val="auto"/>
                <w:w w:val="97"/>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7,602,536</w:t>
            </w:r>
          </w:p>
        </w:tc>
        <w:tc>
          <w:tcPr>
            <w:tcW w:w="20" w:type="dxa"/>
            <w:vAlign w:val="bottom"/>
            <w:tcBorders>
              <w:top w:val="single" w:sz="8" w:color="CCEEFF"/>
              <w:bottom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r>
    </w:tbl>
    <w:p>
      <w:pPr>
        <w:sectPr>
          <w:pgSz w:w="11900" w:h="16900" w:orient="portrait"/>
          <w:cols w:equalWidth="0" w:num="1">
            <w:col w:w="11260"/>
          </w:cols>
          <w:pgMar w:left="320" w:top="497" w:right="319" w:bottom="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4558030</wp:posOffset>
            </wp:positionH>
            <wp:positionV relativeFrom="page">
              <wp:posOffset>88900</wp:posOffset>
            </wp:positionV>
            <wp:extent cx="237363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73630" cy="7620"/>
                    </a:xfrm>
                    <a:prstGeom prst="rect">
                      <a:avLst/>
                    </a:prstGeom>
                    <a:noFill/>
                  </pic:spPr>
                </pic:pic>
              </a:graphicData>
            </a:graphic>
          </wp:anchor>
        </w:drawing>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20320</wp:posOffset>
            </wp:positionV>
            <wp:extent cx="715010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Included in these consolidated financial statements are two entities that are not consolidated in the U.S. tax return filing due to less than 80% ownership by Snail Games USA Inc. and entity classifications. As of December 31, 2023, the non-includable entities have U.S. federal net operating loss (“NOL”) carryforwards of $2,884,392 which begin to expire in 2037 and $11,498,479 with an indefinite carryforward period. As of December 31, 2023, the non-includable entities have $14,345,028 of California net operating loss carryforwards, which begin to expire in 2037. The Company’s consolidated federal NOL carryforwards are $26,508,814 and its 163(j) interest carryforward is $1,539,810; both have an indefinite life. The Company’s consolidated state NOL carryforwards are $5,453,676 and begin to expire in 2039.</w:t>
      </w:r>
    </w:p>
    <w:p>
      <w:pPr>
        <w:spacing w:after="0" w:line="16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The Company maintained a total valuation allowance of $5,143,802 and $5,005,195 as of December 31, 2023 and 2022, respectively, the valuation allowance relates primarily to the NOL of the non-includable entities mentioned above, which have had historical losses, and which management has assessed are not more likely than not to be able to realize those NOLs. The non-includable entities had a valuation allowance of $4,022,729 and $4,057,479 as of December 31, 2023 and 2022. The Company’s consolidated tax filing group had a domestic valuation allowance of $686,808 and $683,552 as of December 31, 2023 and 2022, respectively. The Company had a foreign valuation allowance of $434,265 and $264,165 as of December 31, 2023 and 2022, respectively. As of December 31, 2023, the Company has no remaining foreign net operating loss carryforwards.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has assessed all positive and negative evidence of whether sufficient future taxable income will be generated to realize the deferred tax assets, including the level of historical taxable income and projections of future taxable income over the periods during which the deferred tax assets are deductible. After evaluating the positive and negative evidence, management believes it is more likely than not that the Company will realize the benefits of these deductible differences, except as noted above.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As of December 31, 2023, the Company has foreign tax credit carryforwards of $192,180 which, if not utilized, begin to expire in 2027 and foreign R&amp;D credit carryforwards of $434,265 which, if not utilized, begin to expire in 2027. The Company has booked an uncertain tax position reserve on the entire amount of foreign tax credit and a valuation allowance on its R&amp;D credit carryforwards due to uncertainty regarding their nature and future utilization. The Company also has California R&amp;D credit carryforwards of $343,428 with an indefinite carryforward period.</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Company and its subsidiaries currently file tax returns in the United States (federal and state) and Poland. The statute of limitations for its consolidated federal income tax returns are open for tax years ended December 31, 2020 and after. The statute of limitations for its consolidated state income tax returns are open for tax years ended December 31, 2019 and after. All tax periods for its Polish subsidiary are currently subject to examination since its inception in 2018. While the Company has historically only filed a state tax return in California, it filed in 10 states in 2022 and it also has completed the Voluntary Disclosure Agreement process in additional states.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After enactment of the Tax Cuts and Jobs Act (“TCJA”) in 2017, any current earnings of a foreign subsidiary are subject to the Global Intangible Low-Taxed Income (“GILTI”) tax and any future repatriation of foreign earnings back to the U.S. would be subject to a 100% dividends-received deduction, thus, not subject to additional federal taxes. The Company owns one foreign corporation, Donkey Crew, which is subject to the GILTI tax and will have a GILTI inclusion during the year ended December 31, 2023. It is Management’s intent to permanently reinvest any future foreign earnings to support operations and business growth of its affiliated company in Poland. As such, no deferred tax liability was recorded on the unremitted earnings of the foreign subsidiary as of December 31, 2023 and 2022. As of December 31, 2023, the Company had $977,166 in unremitted earnings that were indefinitely reinvested related to its consolidated foreign subsidiaries.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reflects changes in gross unrecognized tax benefits for the years ended December 31,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12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Unrecognized tax benefits at beginning of year</w:t>
            </w:r>
          </w:p>
        </w:tc>
        <w:tc>
          <w:tcPr>
            <w:tcW w:w="18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110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696,895</w:t>
            </w:r>
          </w:p>
        </w:tc>
        <w:tc>
          <w:tcPr>
            <w:tcW w:w="3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693,913</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8"/>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Gross Increases – current year positions</w:t>
            </w:r>
          </w:p>
        </w:tc>
        <w:tc>
          <w:tcPr>
            <w:tcW w:w="1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6"/>
                <w:szCs w:val="16"/>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Increases – prior year positions</w:t>
            </w:r>
          </w:p>
        </w:tc>
        <w:tc>
          <w:tcPr>
            <w:tcW w:w="18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72,177</w:t>
            </w:r>
          </w:p>
        </w:tc>
      </w:tr>
      <w:tr>
        <w:trPr>
          <w:trHeight w:val="188"/>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Gross Decreases – expiration of statute of limitation</w:t>
            </w:r>
          </w:p>
        </w:tc>
        <w:tc>
          <w:tcPr>
            <w:tcW w:w="1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(37,550)</w:t>
            </w:r>
          </w:p>
        </w:tc>
        <w:tc>
          <w:tcPr>
            <w:tcW w:w="440" w:type="dxa"/>
            <w:vAlign w:val="bottom"/>
          </w:tcPr>
          <w:p>
            <w:pPr>
              <w:spacing w:after="0"/>
              <w:rPr>
                <w:sz w:val="16"/>
                <w:szCs w:val="16"/>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Decreases – settlements</w:t>
            </w:r>
          </w:p>
        </w:tc>
        <w:tc>
          <w:tcPr>
            <w:tcW w:w="18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(171,737)</w:t>
            </w:r>
          </w:p>
        </w:tc>
        <w:tc>
          <w:tcPr>
            <w:tcW w:w="4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(69,195)</w:t>
            </w:r>
          </w:p>
        </w:tc>
      </w:tr>
      <w:tr>
        <w:trPr>
          <w:trHeight w:val="183"/>
        </w:trPr>
        <w:tc>
          <w:tcPr>
            <w:tcW w:w="5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Unrecognized tax benefits at end of year</w:t>
            </w:r>
          </w:p>
        </w:tc>
        <w:tc>
          <w:tcPr>
            <w:tcW w:w="1860" w:type="dxa"/>
            <w:vAlign w:val="bottom"/>
            <w:tcBorders>
              <w:top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110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487,608</w:t>
            </w:r>
          </w:p>
        </w:tc>
        <w:tc>
          <w:tcPr>
            <w:tcW w:w="32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696,895</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5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As of December 31, 2023 and 2022, the Company had $295,428 and $497,720, respectively, of unrecognized tax benefits that if recognized would impact the Company’s effective tax rate. The Company accrued and recognized interest and penalties related to unrecognized tax benefits in operating expense. As of December 31, 2023 and 2022, the Company had accrued $0 of interest and penalties, respectively. The Company does not expect the amount to change within 12 months and is currently not under audit by any taxing jurisdictions. The Company was notified of an audit starting by the state of Washington for Business and Occupation tax, and is working with the state to conduct a managed audit.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 OPERATING LEASE RIGHT-OF-USE ASSETS</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$1,075,000 to lease office space. The standby letter of credit was valid for a one-year term and was amended in January 2021 to extend to January 31, 2026. As of December 31, 2023 and 2022, the Company’s net operating lease right-of-use assets amounted to $2,440,690 and $3,606,398, respectively. The Company had variable lease payments of approximately $125,207 and $77,385 during the years ended December 31, 2023 and 2022, respectively, which consisted primarily of common area maintenance charges and administrative fees. During the year ended December 31, 2022, the Company terminated one of its lease contracts and recognized a gain on the lease termination of $122,533. The effect of the termination on the related lease asset and liability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center"/>
              <w:ind w:right="521"/>
              <w:spacing w:after="0"/>
              <w:rPr>
                <w:sz w:val="20"/>
                <w:szCs w:val="20"/>
                <w:color w:val="auto"/>
              </w:rPr>
            </w:pPr>
            <w:r>
              <w:rPr>
                <w:rFonts w:ascii="Times New Roman" w:cs="Times New Roman" w:eastAsia="Times New Roman" w:hAnsi="Times New Roman"/>
                <w:sz w:val="16"/>
                <w:szCs w:val="16"/>
                <w:color w:val="auto"/>
                <w:w w:val="98"/>
              </w:rPr>
              <w:t>Right of</w:t>
            </w:r>
          </w:p>
        </w:tc>
        <w:tc>
          <w:tcPr>
            <w:tcW w:w="180" w:type="dxa"/>
            <w:vAlign w:val="bottom"/>
          </w:tcPr>
          <w:p>
            <w:pPr>
              <w:spacing w:after="0"/>
              <w:rPr>
                <w:sz w:val="19"/>
                <w:szCs w:val="19"/>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w:t>
            </w: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Lease Liability</w:t>
            </w: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Gain on</w:t>
            </w:r>
          </w:p>
        </w:tc>
      </w:tr>
      <w:tr>
        <w:trPr>
          <w:trHeight w:val="203"/>
        </w:trPr>
        <w:tc>
          <w:tcPr>
            <w:tcW w:w="3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541"/>
              <w:spacing w:after="0"/>
              <w:rPr>
                <w:sz w:val="20"/>
                <w:szCs w:val="20"/>
                <w:color w:val="auto"/>
              </w:rPr>
            </w:pPr>
            <w:r>
              <w:rPr>
                <w:rFonts w:ascii="Times New Roman" w:cs="Times New Roman" w:eastAsia="Times New Roman" w:hAnsi="Times New Roman"/>
                <w:sz w:val="16"/>
                <w:szCs w:val="16"/>
                <w:color w:val="auto"/>
                <w:w w:val="96"/>
              </w:rPr>
              <w:t>Use Asset</w:t>
            </w:r>
          </w:p>
        </w:tc>
        <w:tc>
          <w:tcPr>
            <w:tcW w:w="180" w:type="dxa"/>
            <w:vAlign w:val="bottom"/>
          </w:tcPr>
          <w:p>
            <w:pPr>
              <w:spacing w:after="0"/>
              <w:rPr>
                <w:sz w:val="17"/>
                <w:szCs w:val="17"/>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Current</w:t>
            </w:r>
          </w:p>
        </w:tc>
        <w:tc>
          <w:tcPr>
            <w:tcW w:w="320" w:type="dxa"/>
            <w:vAlign w:val="bottom"/>
          </w:tcPr>
          <w:p>
            <w:pPr>
              <w:spacing w:after="0"/>
              <w:rPr>
                <w:sz w:val="17"/>
                <w:szCs w:val="17"/>
                <w:color w:val="auto"/>
              </w:rPr>
            </w:pPr>
          </w:p>
        </w:tc>
        <w:tc>
          <w:tcPr>
            <w:tcW w:w="10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93"/>
              </w:rPr>
              <w:t>Long Term</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6"/>
              </w:rPr>
              <w:t>Termination</w:t>
            </w:r>
          </w:p>
        </w:tc>
      </w:tr>
      <w:tr>
        <w:trPr>
          <w:trHeight w:val="200"/>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Terminations</w:t>
            </w: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(1,301,571</w:t>
            </w:r>
          </w:p>
        </w:tc>
        <w:tc>
          <w:tcPr>
            <w:tcW w:w="340" w:type="dxa"/>
            <w:vAlign w:val="bottom"/>
            <w:tcBorders>
              <w:top w:val="single" w:sz="8" w:color="CCEEFF"/>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907,370</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442,704</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74,030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costs included in the general and administrative expenses in our consolidated statements of operations and comprehensive income (loss) for the years ended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 and 2022, are as follows:</w:t>
      </w:r>
    </w:p>
    <w:p>
      <w:pPr>
        <w:spacing w:after="0" w:line="186" w:lineRule="exact"/>
        <w:rPr>
          <w:sz w:val="20"/>
          <w:szCs w:val="20"/>
          <w:color w:val="auto"/>
        </w:rPr>
      </w:pPr>
    </w:p>
    <w:p>
      <w:pPr>
        <w:ind w:left="7800"/>
        <w:spacing w:after="0"/>
        <w:tabs>
          <w:tab w:leader="none" w:pos="1002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50100" cy="134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spacing w:after="0" w:line="10" w:lineRule="exact"/>
        <w:rPr>
          <w:sz w:val="20"/>
          <w:szCs w:val="20"/>
          <w:color w:val="auto"/>
        </w:rPr>
      </w:pPr>
    </w:p>
    <w:p>
      <w:pPr>
        <w:spacing w:after="0"/>
        <w:tabs>
          <w:tab w:leader="none" w:pos="6960" w:val="left"/>
          <w:tab w:leader="none" w:pos="8260" w:val="left"/>
          <w:tab w:leader="none" w:pos="9220" w:val="left"/>
          <w:tab w:leader="none" w:pos="10500" w:val="left"/>
        </w:tabs>
        <w:rPr>
          <w:sz w:val="20"/>
          <w:szCs w:val="20"/>
          <w:color w:val="auto"/>
        </w:rPr>
      </w:pPr>
      <w:r>
        <w:rPr>
          <w:rFonts w:ascii="Times New Roman" w:cs="Times New Roman" w:eastAsia="Times New Roman" w:hAnsi="Times New Roman"/>
          <w:sz w:val="16"/>
          <w:szCs w:val="16"/>
          <w:color w:val="auto"/>
        </w:rPr>
        <w:t>Operating lease costs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1,578,751</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1,590,872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information related to operating leases for lease liabilities as of December 31, 2023 and 2022,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r>
      <w:tr>
        <w:trPr>
          <w:trHeight w:val="188"/>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04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1,548,889</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1,489,396</w:t>
            </w:r>
          </w:p>
        </w:tc>
        <w:tc>
          <w:tcPr>
            <w:tcW w:w="140" w:type="dxa"/>
            <w:vAlign w:val="bottom"/>
            <w:shd w:val="clear" w:color="auto" w:fill="CCEEFF"/>
          </w:tcPr>
          <w:p>
            <w:pPr>
              <w:spacing w:after="0"/>
              <w:rPr>
                <w:sz w:val="16"/>
                <w:szCs w:val="16"/>
                <w:color w:val="auto"/>
              </w:rPr>
            </w:pPr>
          </w:p>
        </w:tc>
      </w:tr>
      <w:tr>
        <w:trPr>
          <w:trHeight w:val="188"/>
        </w:trPr>
        <w:tc>
          <w:tcPr>
            <w:tcW w:w="75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remaining lease term</w:t>
            </w:r>
          </w:p>
        </w:tc>
        <w:tc>
          <w:tcPr>
            <w:tcW w:w="104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1.9 years</w:t>
            </w:r>
          </w:p>
        </w:tc>
        <w:tc>
          <w:tcPr>
            <w:tcW w:w="38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 years</w:t>
            </w:r>
          </w:p>
        </w:tc>
      </w:tr>
      <w:tr>
        <w:trPr>
          <w:trHeight w:val="188"/>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0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w:t>
            </w:r>
          </w:p>
        </w:tc>
        <w:tc>
          <w:tcPr>
            <w:tcW w:w="3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undiscounted lease payments for operating leases and a reconciliation of these payments to our operating lease liabilities as of December 31, 2023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00" w:type="dxa"/>
            <w:vAlign w:val="bottom"/>
          </w:tcPr>
          <w:p>
            <w:pPr>
              <w:spacing w:after="0"/>
              <w:rPr>
                <w:sz w:val="19"/>
                <w:szCs w:val="19"/>
                <w:color w:val="auto"/>
              </w:rPr>
            </w:pP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Future lease payments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Imputed Interest Amount</w:t>
            </w:r>
          </w:p>
        </w:tc>
        <w:tc>
          <w:tcPr>
            <w:tcW w:w="300" w:type="dxa"/>
            <w:vAlign w:val="bottom"/>
          </w:tcPr>
          <w:p>
            <w:pPr>
              <w:spacing w:after="0"/>
              <w:rPr>
                <w:sz w:val="19"/>
                <w:szCs w:val="19"/>
                <w:color w:val="auto"/>
              </w:rPr>
            </w:pPr>
          </w:p>
        </w:tc>
        <w:tc>
          <w:tcPr>
            <w:tcW w:w="19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Lease Liabilities</w:t>
            </w:r>
          </w:p>
        </w:tc>
        <w:tc>
          <w:tcPr>
            <w:tcW w:w="0" w:type="dxa"/>
            <w:vAlign w:val="bottom"/>
          </w:tcPr>
          <w:p>
            <w:pPr>
              <w:spacing w:after="0"/>
              <w:rPr>
                <w:sz w:val="1"/>
                <w:szCs w:val="1"/>
                <w:color w:val="auto"/>
              </w:rPr>
            </w:pPr>
          </w:p>
        </w:tc>
      </w:tr>
      <w:tr>
        <w:trPr>
          <w:trHeight w:val="188"/>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1,610,844</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105,810</w:t>
            </w:r>
          </w:p>
        </w:tc>
        <w:tc>
          <w:tcPr>
            <w:tcW w:w="3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1,505,034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1,453,784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28,290</w:t>
            </w:r>
          </w:p>
        </w:tc>
        <w:tc>
          <w:tcPr>
            <w:tcW w:w="300" w:type="dxa"/>
            <w:vAlign w:val="bottom"/>
          </w:tcPr>
          <w:p>
            <w:pPr>
              <w:spacing w:after="0"/>
              <w:rPr>
                <w:sz w:val="16"/>
                <w:szCs w:val="16"/>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1,425,494</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Pr>
          <w:p>
            <w:pPr>
              <w:spacing w:after="0"/>
              <w:rPr>
                <w:sz w:val="17"/>
                <w:szCs w:val="17"/>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future lease payments</w:t>
            </w: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3,064,628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134,100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2,930,528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18 – COMMITMENTS AND CONTINGENCIES</w:t>
            </w: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Litigation</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5"/>
          <w:szCs w:val="15"/>
          <w:color w:val="auto"/>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spacing w:after="0" w:line="1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concerned a videogame titled </w:t>
      </w:r>
      <w:r>
        <w:rPr>
          <w:rFonts w:ascii="Times New Roman" w:cs="Times New Roman" w:eastAsia="Times New Roman" w:hAnsi="Times New Roman"/>
          <w:sz w:val="16"/>
          <w:szCs w:val="16"/>
          <w:i w:val="1"/>
          <w:iCs w:val="1"/>
          <w:color w:val="auto"/>
        </w:rPr>
        <w:t>Myth of Empires</w:t>
      </w:r>
      <w:r>
        <w:rPr>
          <w:rFonts w:ascii="Times New Roman" w:cs="Times New Roman" w:eastAsia="Times New Roman" w:hAnsi="Times New Roman"/>
          <w:sz w:val="16"/>
          <w:szCs w:val="16"/>
          <w:color w:val="auto"/>
        </w:rPr>
        <w:t>, which was developed by Suzhou Angela Online Game Technology Co., Ltd. (“Angela Game”) and published by Imperium Interactive Entertainment Limited (“Imperium”).</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 xml:space="preserve">On December 9, 2021, Angela Game and Imperium sued the Company and Studio Wildcard in the United States District Court for the Central District of California (the “District Court”) in response to the DCMA Takedown Notice. The lawsuit sought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reinstate Myth of Empires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Times New Roman" w:cs="Times New Roman" w:eastAsia="Times New Roman" w:hAnsi="Times New Roman"/>
          <w:sz w:val="16"/>
          <w:szCs w:val="16"/>
          <w:i w:val="1"/>
          <w:iCs w:val="1"/>
          <w:color w:val="auto"/>
        </w:rPr>
        <w:t>ARK: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Survival Evolved </w:t>
      </w:r>
      <w:r>
        <w:rPr>
          <w:rFonts w:ascii="Times New Roman" w:cs="Times New Roman" w:eastAsia="Times New Roman" w:hAnsi="Times New Roman"/>
          <w:sz w:val="16"/>
          <w:szCs w:val="16"/>
          <w:color w:val="auto"/>
        </w:rPr>
        <w:t>source code.</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September 8, 2023, the Company entered into a settlement agreement with Angela Game. The settlement agreement includes an upfront payment from Angela Game to the Company plus ongoing payments. The upfront payment of $1.5 million was recorded as deferred revenue, with $0.3 million of the payment included in “other income” and the remaining amount to be recognized upon the satisfaction of certain performance obligations and future revenue sharing.</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On March 14, 2023, Bel Air Soto, LLC (“Plaintiff”) filed suit in the Superior Court of California, County of Los Angeles, against Snail Games USA Inc. and INDIEV, an affiliate company that is owned by Mr. Hai Shi, the Company’s Founder,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$3 million. Snail Games USA Inc. disputes the allegations and the amount of damages. The Company has responded to the complaint with an answer and cross-complaint. The cross-complaint seeks return for the $130,000 security deposit. The landlord has answered and denied the allegations of the cross-complaint. The Company intends to vigorously defend against the claims asserted.</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October 2023, INDIEV has filed for bankruptcy and the Company does not expect to recover its costs from INDIEV. At this time, the Company is unable to quantify the magnitude of the potential loss should the plaintiffs’ lawsuit succeed and accordingly no accrual for loss has been recorded in the accompanying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 EARNINGS (LOSS) PER SHARE</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Company uses the two class method to compute its basic earnings (loss) per share (“Basic EPS”) and diluted earnings (loss)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income (loss) divided by the weighted-average number of common shares outstanding for the period. Diluted EPS reflects the potential dilution that could occur using the treasury stock and if-converted methods. The restricted stock units, underwriters warrants and warrants issued in connection with the convertible debt and equity line of credit were excluded from the treasury stock method computation of diluted shares as their inclusion would have had an antidilutive effect for the year ended December 31, 2023. The convertible notes were excluded from the if-converted method computation of diluted shares as their inclusion would have had an antidilutive effect for the year ended December 31, 2023. There were no such exclusions made in the 2022 calculation. In performing the calculation of Basic and Diluted EPS for the year ended December 31, 2022, the Company has treated the number of shares transferred in the reorganization transaction as having been issued at the start of the year. The following table provides a reconciliation of the weighted average number of shares used in the calculation of Basic and Diluted EPS.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00" w:type="dxa"/>
            <w:vAlign w:val="bottom"/>
            <w:gridSpan w:val="3"/>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Earnings (Loss) Per Share:</w:t>
            </w: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 attributable to Class A common stockholders</w:t>
            </w:r>
          </w:p>
        </w:tc>
        <w:tc>
          <w:tcPr>
            <w:tcW w:w="2240" w:type="dxa"/>
            <w:vAlign w:val="bottom"/>
            <w:gridSpan w:val="2"/>
          </w:tcPr>
          <w:p>
            <w:pPr>
              <w:jc w:val="right"/>
              <w:ind w:right="102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(1,960,813)</w:t>
            </w:r>
          </w:p>
        </w:tc>
        <w:tc>
          <w:tcPr>
            <w:tcW w:w="62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228,482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income attributable to Class B common stockholders</w:t>
            </w:r>
          </w:p>
        </w:tc>
        <w:tc>
          <w:tcPr>
            <w:tcW w:w="1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(7,125,262)</w:t>
            </w: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719,325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top w:val="single" w:sz="8" w:color="CCEEFF"/>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net (loss) income attributable to Snail Inc and Snail Games USA Inc.</w:t>
            </w:r>
          </w:p>
        </w:tc>
        <w:tc>
          <w:tcPr>
            <w:tcW w:w="1060" w:type="dxa"/>
            <w:vAlign w:val="bottom"/>
            <w:tcBorders>
              <w:top w:val="single" w:sz="8" w:color="CCEEFF"/>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(9,086,075</w:t>
            </w:r>
          </w:p>
        </w:tc>
        <w:tc>
          <w:tcPr>
            <w:tcW w:w="320" w:type="dxa"/>
            <w:vAlign w:val="bottom"/>
            <w:tcBorders>
              <w:top w:val="single" w:sz="8" w:color="CCEEFF"/>
              <w:bottom w:val="single" w:sz="8" w:color="CCEEFF"/>
            </w:tcBorders>
          </w:tcPr>
          <w:p>
            <w:pPr>
              <w:jc w:val="right"/>
              <w:ind w:right="241"/>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947,807</w:t>
            </w:r>
          </w:p>
        </w:tc>
        <w:tc>
          <w:tcPr>
            <w:tcW w:w="2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90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Class A weighted average shares outstanding – basic</w:t>
            </w:r>
          </w:p>
        </w:tc>
        <w:tc>
          <w:tcPr>
            <w:tcW w:w="1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7,911,369</w:t>
            </w: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9,131,512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B weighted average shares outstanding – basic</w:t>
            </w: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28,748,580</w:t>
            </w:r>
          </w:p>
        </w:tc>
        <w:tc>
          <w:tcPr>
            <w:tcW w:w="62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28,748,580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A and B basic (loss) earnings per share</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20" w:type="dxa"/>
            <w:vAlign w:val="bottom"/>
            <w:tcBorders>
              <w:top w:val="single" w:sz="8" w:color="CCEEFF"/>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auto"/>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restart"/>
          </w:tcPr>
          <w:p>
            <w:pPr>
              <w:spacing w:after="0"/>
              <w:rPr>
                <w:sz w:val="14"/>
                <w:szCs w:val="14"/>
                <w:color w:val="auto"/>
              </w:rPr>
            </w:pPr>
          </w:p>
        </w:tc>
        <w:tc>
          <w:tcPr>
            <w:tcW w:w="5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Earnings (Loss) Per Share:</w:t>
            </w: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 attributable to Class A common stockholders</w:t>
            </w:r>
          </w:p>
        </w:tc>
        <w:tc>
          <w:tcPr>
            <w:tcW w:w="2240" w:type="dxa"/>
            <w:vAlign w:val="bottom"/>
            <w:gridSpan w:val="2"/>
          </w:tcPr>
          <w:p>
            <w:pPr>
              <w:jc w:val="right"/>
              <w:ind w:right="102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(1,960,813)</w:t>
            </w:r>
          </w:p>
        </w:tc>
        <w:tc>
          <w:tcPr>
            <w:tcW w:w="62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228,482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00" w:type="dxa"/>
            <w:vAlign w:val="bottom"/>
            <w:tcBorders>
              <w:top w:val="single" w:sz="8" w:color="CCEEFF"/>
              <w:bottom w:val="single" w:sz="8" w:color="CCEEFF"/>
            </w:tcBorders>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Net (loss) income attributable to Class B common stockholders</w:t>
            </w: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ind w:right="102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(7,125,262</w:t>
            </w:r>
          </w:p>
        </w:tc>
        <w:tc>
          <w:tcPr>
            <w:tcW w:w="320" w:type="dxa"/>
            <w:vAlign w:val="bottom"/>
            <w:tcBorders>
              <w:top w:val="single" w:sz="8" w:color="CCEEFF"/>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auto"/>
              <w:bottom w:val="single" w:sz="8" w:color="auto"/>
            </w:tcBorders>
            <w:shd w:val="clear" w:color="auto" w:fill="CCEEFF"/>
          </w:tcPr>
          <w:p>
            <w:pPr>
              <w:jc w:val="right"/>
              <w:ind w:right="46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719,325</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Class A weighted average shares outstanding - basic</w:t>
            </w:r>
          </w:p>
        </w:tc>
        <w:tc>
          <w:tcPr>
            <w:tcW w:w="1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90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7,911,369</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9,131,512</w:t>
            </w: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Dilutive effects of common stock equivalents</w:t>
            </w:r>
          </w:p>
        </w:tc>
        <w:tc>
          <w:tcPr>
            <w:tcW w:w="1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00" w:type="dxa"/>
            <w:vAlign w:val="bottom"/>
            <w:tcBorders>
              <w:top w:val="single" w:sz="8" w:color="CCEEFF"/>
              <w:bottom w:val="single" w:sz="8" w:color="CCEEFF"/>
            </w:tcBorders>
          </w:tcPr>
          <w:p>
            <w:pPr>
              <w:ind w:left="140"/>
              <w:spacing w:after="0" w:line="171" w:lineRule="exact"/>
              <w:rPr>
                <w:sz w:val="20"/>
                <w:szCs w:val="20"/>
                <w:color w:val="auto"/>
              </w:rPr>
            </w:pPr>
            <w:r>
              <w:rPr>
                <w:rFonts w:ascii="Times New Roman" w:cs="Times New Roman" w:eastAsia="Times New Roman" w:hAnsi="Times New Roman"/>
                <w:sz w:val="16"/>
                <w:szCs w:val="16"/>
                <w:color w:val="auto"/>
              </w:rPr>
              <w:t>Class A weighted average shares outstanding - diluted</w:t>
            </w:r>
          </w:p>
        </w:tc>
        <w:tc>
          <w:tcPr>
            <w:tcW w:w="1060" w:type="dxa"/>
            <w:vAlign w:val="bottom"/>
            <w:tcBorders>
              <w:top w:val="single" w:sz="8" w:color="CCEEFF"/>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7,911,369</w:t>
            </w:r>
          </w:p>
        </w:tc>
        <w:tc>
          <w:tcPr>
            <w:tcW w:w="320" w:type="dxa"/>
            <w:vAlign w:val="bottom"/>
            <w:tcBorders>
              <w:top w:val="single" w:sz="8" w:color="CCEEFF"/>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9,131,512</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B weighted average shares outstanding - basic</w:t>
            </w: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28,748,580</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28,748,580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Dilutive effects of common stock equivalents</w:t>
            </w: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B weighted average shares outstanding - diluted</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28,748,580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28,748,580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(loss) earnings per Class A and B share</w:t>
            </w:r>
          </w:p>
        </w:tc>
        <w:tc>
          <w:tcPr>
            <w:tcW w:w="1060" w:type="dxa"/>
            <w:vAlign w:val="bottom"/>
          </w:tcPr>
          <w:p>
            <w:pPr>
              <w:spacing w:after="0"/>
              <w:rPr>
                <w:sz w:val="15"/>
                <w:szCs w:val="15"/>
                <w:color w:val="auto"/>
              </w:rPr>
            </w:pPr>
          </w:p>
        </w:tc>
        <w:tc>
          <w:tcPr>
            <w:tcW w:w="118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20" w:type="dxa"/>
            <w:vAlign w:val="bottom"/>
          </w:tcPr>
          <w:p>
            <w:pPr>
              <w:jc w:val="right"/>
              <w:ind w:right="241"/>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 EQUITY</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Company has authorized 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one vote. Each share of Class B common stock will be entitled to ten votes and will be convertible into one share of Class A common stock automatically upon transfer, subject to certain exceptions. Holders of Class A common stock and Class B common stock will vote together as a single class on all matters unless otherwise required by law.</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 November 9, 2022, in connection with the IPO, the Company entered into an underwriting agreement (the “Underwriting Agreement” with the underwriters (the “Underwriters”), pursuant to which the Company agreed to issue and sell 3,000,000 shares of Class A common stock (the “Firm Shares”) at a purchase price of $4.675 per share to the Underwriters and granted the Underwriters an option (the “Over-Allotment Option”) to purchase up to 450,000 additional shares of Class A common stock (the “Option Shares”) at a purchase price of $4.675 per share. The Underwriters had the right to exercise the Over-Allotment Option at any time in whole, or from time to time in part, on or before the forty-fifth day following the effectiveness of the IPO. The Over-Allotment Option was not exercised by the Underwriters prior to its expiration.</w:t>
      </w:r>
    </w:p>
    <w:p>
      <w:pPr>
        <w:spacing w:after="0" w:line="16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In connection with the Underwriting Agreement, on November 9, 2022, the Company also issued to the Underwriters warrants to purchase such number of shares of the Company’s Class A common stock in an amount equal to four percent of the total number of shares of Class A common stock sold in the IPO, or 120,000 shares of Class A common stock (the “Underwriters Warrants”). The Underwriters Warrants may be exercised at a price per share equal to 125% of the IPO price, or $6.25 per share. The Underwriters Warrants are exercisable, in whole or in part, commencing on November 9, 2022, and expiring on the three-year anniversary thereof. The Underwriters Warrants have not been exercised as of the filing of this Annual Report.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Underwriters Warrants and Over-Allotment Option are legally detachable and separately exercisable from each other and from the Firm Shares; therefore, they meet the definition of freestanding and are not considered embedded in the Firm Shares.</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Underwriters Warrants are considered indexed to the Company’s own stock. Additionally, the Company concludes that the Underwriters Warrants meet all requirements for equity classification. Because the Underwriters Warrants are issued to the Underwriters for their services and can be exercised immediately (subject to certain transfer conditions) they will be measured at their fair value on their date of issuance and recorded within stockholders’ equity. As long as the Underwriters Warrants remain classified as equity, they shall not be revalued. The fair value of the Underwriters Warrants was determined using the Black-Scholes model. The key assumptions used in the valuation were an average expected volatility of 53%, discount rate of 4.49% and remaining term of 3 years.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allocates all the issuance costs to the firm shares as a reduction of proceeds.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Debt</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August 2023, pursuant to a securities purchase agreement (the “SPA”), the Company issued to two accredited investors (the convertible debt “Investors”) convertible notes with an aggregate principal amount of $1,080,000 (the “Convertible Notes”) and warrants to purchase up to an aggregate of 714,285 shares of the Company’s Class A common stock for gross proceeds of $1,000,000 (the “Convertible Notes Financing”).</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connection with the Convertible Notes Financing, the Company also entered into a registration rights agreement with the Investors. So long as the Company complies with certain conditions set forth in the SPA and the registration rights agreement, the Company will sell and the Investors will purchase, an additional $1,080,000 of aggregate principal amount of notes and warrants in the second tranche of the Convertible Note Financing. The second tranche closing has not yet taken place.</w:t>
      </w:r>
    </w:p>
    <w:p>
      <w:pPr>
        <w:spacing w:after="0" w:line="15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Convertible Notes carry an original issue discount of approximately 7.4%, bear interest at a rate of 7.5% per annum (16% per annum in case of an event of default), are repayable in equal consecutive monthly installments beginning February 24, 2024 and mature on May 24, 2024 (the “Maturity Date”).</w:t>
      </w:r>
    </w:p>
    <w:p>
      <w:pPr>
        <w:spacing w:after="0" w:line="15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The Convertible Notes may be prepaid by the Company upon giving the Investors a fifteen-trading day notice by paying an amount equal to the then outstanding balance. If the Company enters into a qualifying financing it may be required by the Investors to repay part or all of the Convertible Notes at a 112.5% premium (limited to 10% of the proceeds of the qualified financing, if such financing results in gross proceeds to the Company at least $5,000,000). In event of default or change of control, the Investors may require the Company to prepay the Convertible Notes at a 120% premium.</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Subject to certain ownership limitations, starting three months after their issuance, the Convertible Notes can be converted at the option of the holder at any time into shares of the Company’s Class A common, at a conversion price equal to 90% (85% in case of an event of default) of the average of the three the lowest daily volume weighted average price (“VWAP”) of the Class A common stock during the ten (10) trading days period prior the receipt of the notice of conversion. The conversion price may be adjusted if the Company issues a qualifying security at a lower price than the then conversion price.</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If, upon receipt of conversion notice, the Company cannot issue shares of Class A common stock for any reason, then it is required to issue as many shares of Class A common stock as it is able to issue and, with respect to the unconverted principle portion, the Noteholder may elect for the Company to pay for each shares of Class A common stock that could not be issued at a price equal to the higher of the then conversion price or the VWAP as of the date of the conversion notice.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Company determined that the Convertible Notes included features that required bifurcation from the debt host and met the criteria to be accounted for as a derivative liability that is accounted for at fair value. On the date of issuance, the compound derivative had an estimated fair value that was not significant due to the remoteness of the events that would trigger the redemption features. The derivative liability uses level 3 inputs, is to be measured at fair value each reporting date with change in fair value being reported in other income. The change in fair value during the year ended December 31, 2023, was not significant and as such, was not recorded.</w:t>
      </w:r>
    </w:p>
    <w:p>
      <w:pPr>
        <w:spacing w:after="0" w:line="1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On the date of issuance, the Company allocated the proceeds between the instruments issued using fair value for the derivative liability with the residual amounts allocated to the convertible notes and warrants using relative fair value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60" w:type="dxa"/>
            <w:vAlign w:val="bottom"/>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35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554,246</w:t>
            </w:r>
          </w:p>
        </w:tc>
        <w:tc>
          <w:tcPr>
            <w:tcW w:w="2260" w:type="dxa"/>
            <w:vAlign w:val="bottom"/>
          </w:tcPr>
          <w:p>
            <w:pPr>
              <w:spacing w:after="0"/>
              <w:rPr>
                <w:sz w:val="16"/>
                <w:szCs w:val="16"/>
                <w:color w:val="auto"/>
              </w:rPr>
            </w:pPr>
          </w:p>
        </w:tc>
      </w:tr>
      <w:tr>
        <w:trPr>
          <w:trHeight w:val="188"/>
        </w:trPr>
        <w:tc>
          <w:tcPr>
            <w:tcW w:w="2260" w:type="dxa"/>
            <w:vAlign w:val="bottom"/>
          </w:tcPr>
          <w:p>
            <w:pPr>
              <w:spacing w:after="0"/>
              <w:rPr>
                <w:sz w:val="16"/>
                <w:szCs w:val="16"/>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3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60" w:type="dxa"/>
            <w:vAlign w:val="bottom"/>
          </w:tcPr>
          <w:p>
            <w:pPr>
              <w:spacing w:after="0"/>
              <w:rPr>
                <w:sz w:val="16"/>
                <w:szCs w:val="16"/>
                <w:color w:val="auto"/>
              </w:rPr>
            </w:pPr>
          </w:p>
        </w:tc>
      </w:tr>
      <w:tr>
        <w:trPr>
          <w:trHeight w:val="220"/>
        </w:trPr>
        <w:tc>
          <w:tcPr>
            <w:tcW w:w="226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w:t>
            </w:r>
          </w:p>
        </w:tc>
        <w:tc>
          <w:tcPr>
            <w:tcW w:w="3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445,754</w:t>
            </w:r>
          </w:p>
        </w:tc>
        <w:tc>
          <w:tcPr>
            <w:tcW w:w="2260" w:type="dxa"/>
            <w:vAlign w:val="bottom"/>
          </w:tcPr>
          <w:p>
            <w:pPr>
              <w:spacing w:after="0"/>
              <w:rPr>
                <w:sz w:val="19"/>
                <w:szCs w:val="19"/>
                <w:color w:val="auto"/>
              </w:rPr>
            </w:pPr>
          </w:p>
        </w:tc>
      </w:tr>
      <w:tr>
        <w:trPr>
          <w:trHeight w:val="183"/>
        </w:trPr>
        <w:tc>
          <w:tcPr>
            <w:tcW w:w="2260" w:type="dxa"/>
            <w:vAlign w:val="bottom"/>
          </w:tcPr>
          <w:p>
            <w:pPr>
              <w:spacing w:after="0"/>
              <w:rPr>
                <w:sz w:val="15"/>
                <w:szCs w:val="15"/>
                <w:color w:val="auto"/>
              </w:rPr>
            </w:pPr>
          </w:p>
        </w:tc>
        <w:tc>
          <w:tcPr>
            <w:tcW w:w="2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proceeds</w:t>
            </w:r>
          </w:p>
        </w:tc>
        <w:tc>
          <w:tcPr>
            <w:tcW w:w="3180" w:type="dxa"/>
            <w:vAlign w:val="bottom"/>
            <w:tcBorders>
              <w:top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60" w:type="dxa"/>
            <w:vAlign w:val="bottom"/>
            <w:tcBorders>
              <w:top w:val="single" w:sz="8" w:color="CCEEFF"/>
            </w:tcBorders>
          </w:tcPr>
          <w:p>
            <w:pPr>
              <w:spacing w:after="0"/>
              <w:rPr>
                <w:sz w:val="15"/>
                <w:szCs w:val="15"/>
                <w:color w:val="auto"/>
              </w:rPr>
            </w:pPr>
          </w:p>
        </w:tc>
        <w:tc>
          <w:tcPr>
            <w:tcW w:w="2260" w:type="dxa"/>
            <w:vAlign w:val="bottom"/>
          </w:tcPr>
          <w:p>
            <w:pPr>
              <w:spacing w:after="0"/>
              <w:rPr>
                <w:sz w:val="15"/>
                <w:szCs w:val="15"/>
                <w:color w:val="auto"/>
              </w:rPr>
            </w:pPr>
          </w:p>
        </w:tc>
      </w:tr>
      <w:tr>
        <w:trPr>
          <w:trHeight w:val="20"/>
        </w:trPr>
        <w:tc>
          <w:tcPr>
            <w:tcW w:w="2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55"/>
        </w:trPr>
        <w:tc>
          <w:tcPr>
            <w:tcW w:w="2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jc w:val="right"/>
              <w:ind w:right="2162"/>
              <w:spacing w:after="0"/>
              <w:rPr>
                <w:sz w:val="20"/>
                <w:szCs w:val="20"/>
                <w:color w:val="auto"/>
              </w:rPr>
            </w:pPr>
            <w:r>
              <w:rPr>
                <w:rFonts w:ascii="Times New Roman" w:cs="Times New Roman" w:eastAsia="Times New Roman" w:hAnsi="Times New Roman"/>
                <w:sz w:val="16"/>
                <w:szCs w:val="16"/>
                <w:color w:val="auto"/>
              </w:rPr>
              <w:t>F-28</w:t>
            </w: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7"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difference of $525,754 between the allocated proceeds to the Convertible Notes and the aggregate principal amount will be accreted during the life of the notes. Additionally, $152,500 of transaction costs incurred by the Company were recorded as debt discount.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Convertible Notes as of December 31,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7"/>
              </w:rPr>
              <w:t>Unamortized debt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color w:val="auto"/>
              </w:rPr>
              <w:t>Fair value</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w w:val="97"/>
              </w:rPr>
              <w:t>discount and issuance</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Amount</w:t>
            </w: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costs</w:t>
            </w:r>
          </w:p>
        </w:tc>
        <w:tc>
          <w:tcPr>
            <w:tcW w:w="140" w:type="dxa"/>
            <w:vAlign w:val="bottom"/>
          </w:tcPr>
          <w:p>
            <w:pPr>
              <w:spacing w:after="0"/>
              <w:rPr>
                <w:sz w:val="18"/>
                <w:szCs w:val="18"/>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Net carrying amount</w:t>
            </w:r>
          </w:p>
        </w:tc>
        <w:tc>
          <w:tcPr>
            <w:tcW w:w="240" w:type="dxa"/>
            <w:vAlign w:val="bottom"/>
          </w:tcPr>
          <w:p>
            <w:pPr>
              <w:spacing w:after="0"/>
              <w:rPr>
                <w:sz w:val="18"/>
                <w:szCs w:val="18"/>
                <w:color w:val="auto"/>
              </w:rPr>
            </w:pP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Amount</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Levelling</w:t>
            </w:r>
          </w:p>
        </w:tc>
        <w:tc>
          <w:tcPr>
            <w:tcW w:w="0" w:type="dxa"/>
            <w:vAlign w:val="bottom"/>
          </w:tcPr>
          <w:p>
            <w:pPr>
              <w:spacing w:after="0"/>
              <w:rPr>
                <w:sz w:val="1"/>
                <w:szCs w:val="1"/>
                <w:color w:val="auto"/>
              </w:rPr>
            </w:pPr>
          </w:p>
        </w:tc>
      </w:tr>
      <w:tr>
        <w:trPr>
          <w:trHeight w:val="188"/>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860,910</w:t>
            </w: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(63,549)</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797,361</w:t>
            </w: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536,170</w:t>
            </w: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0"/>
              </w:rPr>
              <w:t>Level 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debt discount is being amortized to interest expense over the maturity period using the effective interest method at a rate of 109.7%. The effective interest rate is based on the principal balance discounted by stated interest, debt issuance costs and fair value allocated to the related warrants. For the year ended December 31, 2023, the Company recognized $424,460 of interest expense related to the Convertible Notes, comprising of $29,025 of contractual interest expense, $306,664 in accretion and $88,951 of amortization of debt discount and issuance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Convertible Note Warrants</w:t>
      </w:r>
    </w:p>
    <w:p>
      <w:pPr>
        <w:spacing w:after="0" w:line="19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The convertible note warrants allow the Investors to purchase an aggregate of 714,285 shares of the Company’s Class A common stock at an exercise price of $1.89. The warrants can be exercised, subject to certain ownership limitations, in whole or in part during the exercise period commencing on November 24, 2023 and ending on the date that is five years thereafter.</w:t>
      </w:r>
    </w:p>
    <w:p>
      <w:pPr>
        <w:spacing w:after="0" w:line="15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exercise price and the number of shares of the warrants are subject to adjustment for standard anti-dilution provisions and also for subsequent issuance at a price lower than the then exercise price and adjustments to the strike price of other equity-linked instruments to a lower price than the then exercise price.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Due to their adjustment provisions, the warrants are classified as a liability on the consolidated balance sheet. The fair value of the warrants at issuance has been estimated using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Monte-Carlo model and the following significant inputs:</w:t>
      </w:r>
    </w:p>
    <w:p>
      <w:pPr>
        <w:spacing w:after="0" w:line="177" w:lineRule="exact"/>
        <w:rPr>
          <w:sz w:val="20"/>
          <w:szCs w:val="20"/>
          <w:color w:val="auto"/>
        </w:rPr>
      </w:pPr>
    </w:p>
    <w:tbl>
      <w:tblPr>
        <w:tblLayout w:type="fixed"/>
        <w:tblInd w:w="112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Issuance</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December 31,</w:t>
            </w:r>
          </w:p>
        </w:tc>
      </w:tr>
      <w:tr>
        <w:trPr>
          <w:trHeight w:val="208"/>
        </w:trPr>
        <w:tc>
          <w:tcPr>
            <w:tcW w:w="35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date</w:t>
            </w: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bottom w:val="single" w:sz="8" w:color="CCEEFF"/>
            </w:tcBorders>
          </w:tcPr>
          <w:p>
            <w:pPr>
              <w:spacing w:after="0"/>
              <w:rPr>
                <w:sz w:val="18"/>
                <w:szCs w:val="18"/>
                <w:color w:val="auto"/>
              </w:rPr>
            </w:pPr>
          </w:p>
        </w:tc>
      </w:tr>
      <w:tr>
        <w:trPr>
          <w:trHeight w:val="18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20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85"/>
              </w:rPr>
              <w:t>1.21</w:t>
            </w:r>
          </w:p>
        </w:tc>
        <w:tc>
          <w:tcPr>
            <w:tcW w:w="140" w:type="dxa"/>
            <w:vAlign w:val="bottom"/>
            <w:shd w:val="clear" w:color="auto" w:fill="CCEEFF"/>
          </w:tcPr>
          <w:p>
            <w:pPr>
              <w:spacing w:after="0"/>
              <w:rPr>
                <w:sz w:val="16"/>
                <w:szCs w:val="16"/>
                <w:color w:val="auto"/>
              </w:rPr>
            </w:pP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3120" w:type="dxa"/>
            <w:vAlign w:val="bottom"/>
            <w:gridSpan w:val="2"/>
          </w:tcPr>
          <w:p>
            <w:pPr>
              <w:jc w:val="right"/>
              <w:ind w:right="96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1.89</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1.89</w:t>
            </w:r>
          </w:p>
        </w:tc>
      </w:tr>
      <w:tr>
        <w:trPr>
          <w:trHeight w:val="18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Contractual term (years)</w:t>
            </w:r>
          </w:p>
        </w:tc>
        <w:tc>
          <w:tcPr>
            <w:tcW w:w="20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4.65</w:t>
            </w: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2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tcPr>
          <w:p>
            <w:pPr>
              <w:spacing w:after="0"/>
              <w:rPr>
                <w:sz w:val="16"/>
                <w:szCs w:val="16"/>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w w:val="91"/>
              </w:rPr>
              <w:t>50.0%</w:t>
            </w:r>
          </w:p>
        </w:tc>
      </w:tr>
      <w:tr>
        <w:trPr>
          <w:trHeight w:val="18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20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4.39%</w:t>
            </w:r>
          </w:p>
        </w:tc>
        <w:tc>
          <w:tcPr>
            <w:tcW w:w="2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1"/>
              </w:rPr>
              <w:t>3.87%</w:t>
            </w:r>
          </w:p>
        </w:tc>
      </w:tr>
    </w:tbl>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warrant liability, which uses level 3 inputs, is to be measured at fair value each reporting period with the change in fair value being recognized in other income (expense). The measured fair value may be uncertain due to the use of unobservable inputs. At December 31, 2023, the fair value of the warrant liability was $480,281 and was included in the accrued expenses and other liabilities in the Company’s consolidated balance sheets. The changes in fair value during the year ended December 31, 2023, amounted to a charge of $34,527 included in other income in our consolidated statements of operations and comprehensive income (loss) and in changes in accrued expenses and other liabilities in our consolidated statements of cash flows.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Line Purchase Agreement</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registration statement covering the offer and sale of up 15,093,768 shares of Class A common stock was effective on October 10, 2023. The purchase price will be calculated as 92% of the volume weighted average prices of the Company’s common stock during normal trading hours for five business days prior to the closing date with respect of a purchase notice.</w:t>
      </w:r>
    </w:p>
    <w:p>
      <w:pPr>
        <w:spacing w:after="0" w:line="15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Concurrently with the signing of the Equity Line Purchase Agreement, the Company issued the equity line warrant to purchase 367,647 shares of its Class A common stock to the investor as a commitment fee. The total fair value, at the date of issuance, of the equity line warrant of approximately $105,411 was recorded as a liability and deferred offering cost and is included in other assets on our consolidated balance sheets.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Line Warrants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connection with the equity line of credit the Company issued to the Investors warrants to purchase an aggregate 367,647 shares of the Company’s Class A common stock for an exercise price of $1.50. The warrants can be exercised, subject to certain ownership limitations, in whole or in part during the exercise period commencing on August 24, 2023 and ending on the date that is five years thereafter.</w:t>
      </w:r>
    </w:p>
    <w:p>
      <w:pPr>
        <w:spacing w:after="0" w:line="159"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5"/>
          <w:szCs w:val="15"/>
          <w:color w:val="auto"/>
        </w:rPr>
        <w:t>The exercise price and the number of shares of the warrants are subject to adjustment for standard anti-dilution provisions, for subsequent common share issuance at a price lower than the then exercise price of the warrants and adjustments to the strike price of other equity-linked instruments to a lower price than the then exercise price of the warrants.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Due to their adjustment provision, the warrants are classified as a liability on the consolidated balance sheet. The fair value of the warrants at issuance has been estimated using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Monte-Carlo model and the following significant inputs:</w:t>
      </w:r>
    </w:p>
    <w:p>
      <w:pPr>
        <w:spacing w:after="0" w:line="177" w:lineRule="exact"/>
        <w:rPr>
          <w:sz w:val="20"/>
          <w:szCs w:val="20"/>
          <w:color w:val="auto"/>
        </w:rPr>
      </w:pPr>
    </w:p>
    <w:tbl>
      <w:tblPr>
        <w:tblLayout w:type="fixed"/>
        <w:tblInd w:w="112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Issuance</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December 31,</w:t>
            </w:r>
          </w:p>
        </w:tc>
      </w:tr>
      <w:tr>
        <w:trPr>
          <w:trHeight w:val="208"/>
        </w:trPr>
        <w:tc>
          <w:tcPr>
            <w:tcW w:w="35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date</w:t>
            </w: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bottom w:val="single" w:sz="8" w:color="CCEEFF"/>
            </w:tcBorders>
          </w:tcPr>
          <w:p>
            <w:pPr>
              <w:spacing w:after="0"/>
              <w:rPr>
                <w:sz w:val="18"/>
                <w:szCs w:val="18"/>
                <w:color w:val="auto"/>
              </w:rPr>
            </w:pPr>
          </w:p>
        </w:tc>
      </w:tr>
      <w:tr>
        <w:trPr>
          <w:trHeight w:val="18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20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85"/>
              </w:rPr>
              <w:t>1.21</w:t>
            </w:r>
          </w:p>
        </w:tc>
        <w:tc>
          <w:tcPr>
            <w:tcW w:w="140" w:type="dxa"/>
            <w:vAlign w:val="bottom"/>
            <w:shd w:val="clear" w:color="auto" w:fill="CCEEFF"/>
          </w:tcPr>
          <w:p>
            <w:pPr>
              <w:spacing w:after="0"/>
              <w:rPr>
                <w:sz w:val="16"/>
                <w:szCs w:val="16"/>
                <w:color w:val="auto"/>
              </w:rPr>
            </w:pP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3120" w:type="dxa"/>
            <w:vAlign w:val="bottom"/>
            <w:gridSpan w:val="2"/>
          </w:tcPr>
          <w:p>
            <w:pPr>
              <w:jc w:val="right"/>
              <w:ind w:right="96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1.50</w:t>
            </w:r>
          </w:p>
        </w:tc>
      </w:tr>
      <w:tr>
        <w:trPr>
          <w:trHeight w:val="18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Contractual term (years)</w:t>
            </w:r>
          </w:p>
        </w:tc>
        <w:tc>
          <w:tcPr>
            <w:tcW w:w="20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4.65</w:t>
            </w: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2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40.0%</w:t>
            </w:r>
          </w:p>
        </w:tc>
        <w:tc>
          <w:tcPr>
            <w:tcW w:w="200" w:type="dxa"/>
            <w:vAlign w:val="bottom"/>
          </w:tcPr>
          <w:p>
            <w:pPr>
              <w:spacing w:after="0"/>
              <w:rPr>
                <w:sz w:val="16"/>
                <w:szCs w:val="16"/>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w w:val="91"/>
              </w:rPr>
              <w:t>50.0%</w:t>
            </w:r>
          </w:p>
        </w:tc>
      </w:tr>
      <w:tr>
        <w:trPr>
          <w:trHeight w:val="18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20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5.49%</w:t>
            </w:r>
          </w:p>
        </w:tc>
        <w:tc>
          <w:tcPr>
            <w:tcW w:w="2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1"/>
              </w:rPr>
              <w:t>3.87%</w:t>
            </w:r>
          </w:p>
        </w:tc>
      </w:tr>
    </w:tbl>
    <w:p>
      <w:pPr>
        <w:spacing w:after="0" w:line="17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The warrant liability, which uses level 3 inputs, is to be measured at fair value at each reporting period and with the change in fair value being recognized in earnings. The measured fair value may be uncertain due to the use of unobservable inputs. At December 31, 2023, the fair value of the warrant liability was $103,767 and included in the accrued expenses and other liabilities in the Company’s consolidated balance sheets. The changes in fair value during the year ended December 31, 2023 amounted to an income of $1,644 and is included in other income in our consolidated statements of operations and comprehensive income (loss) and in changes in accrued expenses and other liabilities in our consolidated statements of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 (“RSUs”)</w:t>
      </w:r>
    </w:p>
    <w:p>
      <w:pPr>
        <w:spacing w:after="0" w:line="196"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5"/>
          <w:szCs w:val="15"/>
          <w:color w:val="auto"/>
        </w:rPr>
        <w:t>RSUs granted to directors vest based on the directors’ continued employment with us through each applicable vest date, which is generally over one year. If the vesting conditions are not met, unvested RSUs will be forfeited. The following table summarizes our RSU units activity with directors for the years ended December 31, 2023 and 2022.</w:t>
      </w:r>
    </w:p>
    <w:p>
      <w:pPr>
        <w:spacing w:after="0" w:line="125" w:lineRule="exact"/>
        <w:rPr>
          <w:sz w:val="20"/>
          <w:szCs w:val="20"/>
          <w:color w:val="auto"/>
        </w:rPr>
      </w:pPr>
    </w:p>
    <w:tbl>
      <w:tblPr>
        <w:tblLayout w:type="fixed"/>
        <w:tblInd w:w="56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40" w:type="dxa"/>
            <w:vAlign w:val="bottom"/>
          </w:tcPr>
          <w:p>
            <w:pPr>
              <w:spacing w:after="0"/>
              <w:rPr>
                <w:sz w:val="16"/>
                <w:szCs w:val="16"/>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Weighted-Average</w:t>
            </w:r>
          </w:p>
        </w:tc>
      </w:tr>
      <w:tr>
        <w:trPr>
          <w:trHeight w:val="210"/>
        </w:trPr>
        <w:tc>
          <w:tcPr>
            <w:tcW w:w="6300" w:type="dxa"/>
            <w:vAlign w:val="bottom"/>
          </w:tcPr>
          <w:p>
            <w:pPr>
              <w:spacing w:after="0"/>
              <w:rPr>
                <w:sz w:val="18"/>
                <w:szCs w:val="18"/>
                <w:color w:val="auto"/>
              </w:rPr>
            </w:pP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Grant-Date Fair Values</w:t>
            </w:r>
          </w:p>
        </w:tc>
      </w:tr>
      <w:tr>
        <w:trPr>
          <w:trHeight w:val="188"/>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January 1, 2023</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Borders>
              <w:top w:val="single" w:sz="8" w:color="CCEEFF"/>
            </w:tcBorders>
            <w:shd w:val="clear" w:color="auto" w:fill="CCEEFF"/>
          </w:tcPr>
          <w:p>
            <w:pPr>
              <w:spacing w:after="0"/>
              <w:rPr>
                <w:sz w:val="16"/>
                <w:szCs w:val="16"/>
                <w:color w:val="auto"/>
              </w:rPr>
            </w:pPr>
          </w:p>
        </w:tc>
      </w:tr>
      <w:tr>
        <w:trPr>
          <w:trHeight w:val="18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43,478</w:t>
            </w:r>
          </w:p>
        </w:tc>
        <w:tc>
          <w:tcPr>
            <w:tcW w:w="140" w:type="dxa"/>
            <w:vAlign w:val="bottom"/>
          </w:tcPr>
          <w:p>
            <w:pPr>
              <w:spacing w:after="0"/>
              <w:rPr>
                <w:sz w:val="16"/>
                <w:szCs w:val="16"/>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1.38</w:t>
            </w:r>
          </w:p>
        </w:tc>
      </w:tr>
      <w:tr>
        <w:trPr>
          <w:trHeight w:val="18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2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(24,000)</w:t>
            </w:r>
          </w:p>
        </w:tc>
        <w:tc>
          <w:tcPr>
            <w:tcW w:w="1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cancelled</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43,478</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1280" w:type="dxa"/>
            <w:vAlign w:val="bottom"/>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w w:val="96"/>
              </w:rPr>
              <w:t>Restricted</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r>
      <w:tr>
        <w:trPr>
          <w:trHeight w:val="210"/>
        </w:trPr>
        <w:tc>
          <w:tcPr>
            <w:tcW w:w="6300" w:type="dxa"/>
            <w:vAlign w:val="bottom"/>
          </w:tcPr>
          <w:p>
            <w:pPr>
              <w:spacing w:after="0"/>
              <w:rPr>
                <w:sz w:val="18"/>
                <w:szCs w:val="18"/>
                <w:color w:val="auto"/>
              </w:rPr>
            </w:pPr>
          </w:p>
        </w:tc>
        <w:tc>
          <w:tcPr>
            <w:tcW w:w="1280" w:type="dxa"/>
            <w:vAlign w:val="bottom"/>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w w:val="96"/>
              </w:rPr>
              <w:t>Stock Units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Grant-Date Fair Values</w:t>
            </w:r>
          </w:p>
        </w:tc>
      </w:tr>
      <w:tr>
        <w:trPr>
          <w:trHeight w:val="188"/>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January 1, 2022</w:t>
            </w:r>
          </w:p>
        </w:tc>
        <w:tc>
          <w:tcPr>
            <w:tcW w:w="12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r>
      <w:tr>
        <w:trPr>
          <w:trHeight w:val="188"/>
        </w:trPr>
        <w:tc>
          <w:tcPr>
            <w:tcW w:w="7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5"/>
              </w:rPr>
              <w:t>24,000</w:t>
            </w:r>
          </w:p>
        </w:tc>
        <w:tc>
          <w:tcPr>
            <w:tcW w:w="140" w:type="dxa"/>
            <w:vAlign w:val="bottom"/>
          </w:tcPr>
          <w:p>
            <w:pPr>
              <w:spacing w:after="0"/>
              <w:rPr>
                <w:sz w:val="16"/>
                <w:szCs w:val="16"/>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5.00</w:t>
            </w:r>
          </w:p>
        </w:tc>
      </w:tr>
      <w:tr>
        <w:trPr>
          <w:trHeight w:val="188"/>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 or cancelled</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128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24,000</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grant date fair value of RSUs granted to directors is based on the quoted market price of our common stock on the date of grant.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6"/>
          <w:szCs w:val="16"/>
          <w:b w:val="1"/>
          <w:bCs w:val="1"/>
          <w:color w:val="auto"/>
        </w:rPr>
        <w:t>Snail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5 years, with awards cliff-vesting after each annual measurement period during the total aggregate measurement period.</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spacing w:after="0" w:line="15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following table summarizes our PSU activity with employees, presented with the maximum number of shares that could potentially vest, for the years ended December 31, 2023 and 2022.</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20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4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r>
      <w:tr>
        <w:trPr>
          <w:trHeight w:val="210"/>
        </w:trPr>
        <w:tc>
          <w:tcPr>
            <w:tcW w:w="6300" w:type="dxa"/>
            <w:vAlign w:val="bottom"/>
          </w:tcPr>
          <w:p>
            <w:pPr>
              <w:spacing w:after="0"/>
              <w:rPr>
                <w:sz w:val="18"/>
                <w:szCs w:val="18"/>
                <w:color w:val="auto"/>
              </w:rPr>
            </w:pPr>
          </w:p>
        </w:tc>
        <w:tc>
          <w:tcPr>
            <w:tcW w:w="204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Grant-Date Fair Values</w:t>
            </w:r>
          </w:p>
        </w:tc>
      </w:tr>
      <w:tr>
        <w:trPr>
          <w:trHeight w:val="188"/>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January 1, 2023</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1,197,552</w:t>
            </w: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Borders>
              <w:top w:val="single" w:sz="8" w:color="CCEEFF"/>
            </w:tcBorders>
            <w:shd w:val="clear" w:color="auto" w:fill="CCEEFF"/>
          </w:tcPr>
          <w:p>
            <w:pPr>
              <w:spacing w:after="0"/>
              <w:rPr>
                <w:sz w:val="16"/>
                <w:szCs w:val="16"/>
                <w:color w:val="auto"/>
              </w:rPr>
            </w:pPr>
          </w:p>
        </w:tc>
      </w:tr>
      <w:tr>
        <w:trPr>
          <w:trHeight w:val="18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cancelled</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(32,305)</w:t>
            </w:r>
          </w:p>
        </w:tc>
        <w:tc>
          <w:tcPr>
            <w:tcW w:w="140" w:type="dxa"/>
            <w:vAlign w:val="bottom"/>
          </w:tcPr>
          <w:p>
            <w:pPr>
              <w:spacing w:after="0"/>
              <w:rPr>
                <w:sz w:val="17"/>
                <w:szCs w:val="17"/>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5.00</w:t>
            </w:r>
          </w:p>
        </w:tc>
      </w:tr>
      <w:tr>
        <w:trPr>
          <w:trHeight w:val="200"/>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1,165,247</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1">
            <w:col w:w="11260"/>
          </w:cols>
          <w:pgMar w:left="320" w:top="497" w:right="319" w:bottom="1440" w:gutter="0" w:footer="0" w:header="0"/>
        </w:sectPr>
      </w:pPr>
    </w:p>
    <w:p>
      <w:pPr>
        <w:ind w:left="7380"/>
        <w:spacing w:after="0"/>
        <w:rPr>
          <w:sz w:val="20"/>
          <w:szCs w:val="20"/>
          <w:color w:val="auto"/>
        </w:rPr>
      </w:pPr>
      <w:r>
        <w:rPr>
          <w:rFonts w:ascii="Times New Roman" w:cs="Times New Roman" w:eastAsia="Times New Roman" w:hAnsi="Times New Roman"/>
          <w:sz w:val="16"/>
          <w:szCs w:val="16"/>
          <w:b w:val="1"/>
          <w:bCs w:val="1"/>
          <w:color w:val="auto"/>
        </w:rPr>
        <w:t>Restricted</w:t>
      </w:r>
    </w:p>
    <w:p>
      <w:pPr>
        <w:spacing w:after="0" w:line="2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5"/>
          <w:szCs w:val="15"/>
          <w:b w:val="1"/>
          <w:bCs w:val="1"/>
          <w:color w:val="auto"/>
        </w:rPr>
        <w:t>Stock Units</w:t>
      </w:r>
    </w:p>
    <w:p>
      <w:pPr>
        <w:spacing w:after="0" w:line="20" w:lineRule="exact"/>
        <w:rPr>
          <w:sz w:val="20"/>
          <w:szCs w:val="20"/>
          <w:color w:val="auto"/>
        </w:rPr>
      </w:pPr>
      <w:r>
        <w:rPr>
          <w:sz w:val="20"/>
          <w:szCs w:val="20"/>
          <w:color w:val="auto"/>
        </w:rPr>
        <w:br w:type="column"/>
      </w:r>
    </w:p>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Weighted-Average</w:t>
      </w:r>
    </w:p>
    <w:p>
      <w:pPr>
        <w:spacing w:after="0" w:line="2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5"/>
          <w:szCs w:val="15"/>
          <w:b w:val="1"/>
          <w:bCs w:val="1"/>
          <w:color w:val="auto"/>
        </w:rPr>
        <w:t>Grant-Date Fair Values</w:t>
      </w:r>
    </w:p>
    <w:p>
      <w:pPr>
        <w:spacing w:after="0" w:line="36" w:lineRule="exact"/>
        <w:rPr>
          <w:sz w:val="20"/>
          <w:szCs w:val="20"/>
          <w:color w:val="auto"/>
        </w:rPr>
      </w:pPr>
    </w:p>
    <w:p>
      <w:pPr>
        <w:sectPr>
          <w:pgSz w:w="11900" w:h="16838" w:orient="portrait"/>
          <w:cols w:equalWidth="0" w:num="2">
            <w:col w:w="8240" w:space="720"/>
            <w:col w:w="2300"/>
          </w:cols>
          <w:pgMar w:left="320" w:top="497" w:right="319" w:bottom="1440" w:gutter="0" w:footer="0" w:header="0"/>
          <w:type w:val="continuous"/>
        </w:sectPr>
      </w:pPr>
    </w:p>
    <w:tbl>
      <w:tblPr>
        <w:tblLayout w:type="fixed"/>
        <w:tblInd w:w="560" w:type="dxa"/>
        <w:tblCellMar>
          <w:top w:w="0" w:type="dxa"/>
          <w:left w:w="0" w:type="dxa"/>
          <w:bottom w:w="0" w:type="dxa"/>
          <w:right w:w="0" w:type="dxa"/>
        </w:tblCellMar>
      </w:tblPr>
      <w:tr>
        <w:trPr>
          <w:trHeight w:val="20"/>
        </w:trPr>
        <w:tc>
          <w:tcPr>
            <w:tcW w:w="630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3"/>
        </w:trPr>
        <w:tc>
          <w:tcPr>
            <w:tcW w:w="630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Outstanding as of January 1, 2022</w:t>
            </w:r>
          </w:p>
        </w:tc>
        <w:tc>
          <w:tcPr>
            <w:tcW w:w="1900" w:type="dxa"/>
            <w:vAlign w:val="bottom"/>
            <w:gridSpan w:val="2"/>
            <w:shd w:val="clear" w:color="auto" w:fill="CCEEFF"/>
          </w:tcPr>
          <w:p>
            <w:pPr>
              <w:jc w:val="right"/>
              <w:ind w:right="180"/>
              <w:spacing w:after="0" w:line="173"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624"/>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80"/>
              <w:spacing w:after="0" w:line="173" w:lineRule="exact"/>
              <w:rPr>
                <w:sz w:val="20"/>
                <w:szCs w:val="20"/>
                <w:color w:val="auto"/>
              </w:rPr>
            </w:pPr>
            <w:r>
              <w:rPr>
                <w:rFonts w:ascii="Times New Roman" w:cs="Times New Roman" w:eastAsia="Times New Roman" w:hAnsi="Times New Roman"/>
                <w:sz w:val="16"/>
                <w:szCs w:val="16"/>
                <w:color w:val="auto"/>
              </w:rPr>
              <w:t>—</w:t>
            </w:r>
          </w:p>
        </w:tc>
      </w:tr>
      <w:tr>
        <w:trPr>
          <w:trHeight w:val="18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1,200,960</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5.00</w:t>
            </w:r>
          </w:p>
        </w:tc>
      </w:tr>
      <w:tr>
        <w:trPr>
          <w:trHeight w:val="18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cancelled</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(3,408)</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1,197,552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grant date fair value of PSUs granted to employees is based on the quoted market price of our common stock on the date of grant.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Repurchase Activity</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All share repurchases settled in the year ended December 31, 2023 were open market transactions. As of December 31,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During the year ended December 31, 2022, 1,197,649 shares of Class A common stock were repurchased pursuant to the Share Repurchase Program for an aggregate purchase price of approximately $3.4 million. The average price paid per share during fiscal year 2022 was $2.85.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 Expense</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Stock-based compensation expense resulting from RSUs and PSUs of $799,955 and $223,250 are recorded under general and administrative expenses included in our consolidated statements of operations and comprehensive income (loss) for the years ended December 31, 2023 and 2022, respectively. Stock-based compensation expense resulting from PSUs of $48,080 and $0 are recorded under research and development expenses included in our consolidated statements of operations and comprehensive income (loss) for the years ended December 31, 2023 and 2022, respectively.</w:t>
      </w:r>
    </w:p>
    <w:p>
      <w:pPr>
        <w:spacing w:after="0" w:line="1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During the years ended December 31, 2023 and 2022, the Company recognized approximately $185,432 and $48,678 respectively, of deferred income tax benefit related to our stock-based compensation expense.</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As of December 31, 2023, our total unrecognized compensation cost related to RSUs and PSUs was approximately $1.1 million and is expected to be recognized over a weighted-average service period of 2.6 years.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21 – SUBSEQUENT EVENTS</w:t>
      </w:r>
    </w:p>
    <w:p>
      <w:pPr>
        <w:spacing w:after="0" w:line="194" w:lineRule="exact"/>
        <w:rPr>
          <w:sz w:val="20"/>
          <w:szCs w:val="20"/>
          <w:color w:val="auto"/>
        </w:rPr>
      </w:pPr>
    </w:p>
    <w:p>
      <w:pPr>
        <w:ind w:left="560" w:right="20" w:hanging="284"/>
        <w:spacing w:after="0" w:line="255" w:lineRule="auto"/>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2024, the Company entered into an offset agreement with its related party, SDE. The offset agreement is effective as of January 1, 2024. In accordance with the agreement the Company will offset $0.5 million monthly, or $6.0 million annually, of accounts payable to SDE with accounts receivable from SDE.</w:t>
      </w: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2024, the Company repaid the remaining $0.8 million of its short term note balance.</w:t>
      </w:r>
    </w:p>
    <w:p>
      <w:pPr>
        <w:spacing w:after="0" w:line="4"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2024, the Company repaid $3.0 million of its 2021 Revolving Loan balance.</w:t>
      </w:r>
    </w:p>
    <w:p>
      <w:pPr>
        <w:spacing w:after="0" w:line="4" w:lineRule="exact"/>
        <w:rPr>
          <w:rFonts w:ascii="Times New Roman" w:cs="Times New Roman" w:eastAsia="Times New Roman" w:hAnsi="Times New Roman"/>
          <w:sz w:val="16"/>
          <w:szCs w:val="16"/>
          <w:color w:val="auto"/>
        </w:rPr>
      </w:pPr>
    </w:p>
    <w:p>
      <w:pPr>
        <w:ind w:left="560" w:right="20" w:hanging="284"/>
        <w:spacing w:after="0" w:line="245" w:lineRule="auto"/>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2024, the Company paid a portion of the convertible notes and accrued interest in the amount of $312,075 and the convertible note holders converted 71,460 shares for an aggregate value of $60,000.</w:t>
      </w: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2024, the Company repaid the remaining $1.5 million of its 2023 Note Payable balance.</w:t>
      </w:r>
    </w:p>
    <w:p>
      <w:pPr>
        <w:spacing w:after="0" w:line="4" w:lineRule="exact"/>
        <w:rPr>
          <w:rFonts w:ascii="Times New Roman" w:cs="Times New Roman" w:eastAsia="Times New Roman" w:hAnsi="Times New Roman"/>
          <w:sz w:val="16"/>
          <w:szCs w:val="16"/>
          <w:color w:val="auto"/>
        </w:rPr>
      </w:pPr>
    </w:p>
    <w:p>
      <w:pPr>
        <w:ind w:left="560" w:right="20" w:hanging="284"/>
        <w:spacing w:after="0" w:line="245" w:lineRule="auto"/>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February 2024, Angela Games launched </w:t>
      </w:r>
      <w:r>
        <w:rPr>
          <w:rFonts w:ascii="Times New Roman" w:cs="Times New Roman" w:eastAsia="Times New Roman" w:hAnsi="Times New Roman"/>
          <w:sz w:val="16"/>
          <w:szCs w:val="16"/>
          <w:i w:val="1"/>
          <w:iCs w:val="1"/>
          <w:color w:val="auto"/>
        </w:rPr>
        <w:t>Myth of Empires</w:t>
      </w:r>
      <w:r>
        <w:rPr>
          <w:rFonts w:ascii="Times New Roman" w:cs="Times New Roman" w:eastAsia="Times New Roman" w:hAnsi="Times New Roman"/>
          <w:sz w:val="16"/>
          <w:szCs w:val="16"/>
          <w:color w:val="auto"/>
        </w:rPr>
        <w:t xml:space="preserve"> and the Company recognized $1.2 million in deferred revenues related to the settlement payment received in 2023.</w:t>
      </w:r>
    </w:p>
    <w:p>
      <w:pPr>
        <w:jc w:val="both"/>
        <w:ind w:left="560" w:right="20" w:hanging="284"/>
        <w:spacing w:after="0" w:line="245" w:lineRule="auto"/>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2024, the Company entered into a development agreement with its related party, Suzhou Snail, to outsource the completion of an internal project, Hermes. Under the terms of the agreement, Suzhou Snail will outsource the labor needed to complete the development of project Hermes and provide technical support for a period of twelve months. The Company will retain all rights, title and interest, including the intellectual property for project Hermes. In return, the Company will pay Suzhou Snail $3.0 million in twelve equal monthly installments of $253,000, beginning on January 1, 2024.</w:t>
      </w: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2024, the Company paid $0.3 million of accrued interest and principal of its convertible notes balance.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Disclosure Controls and Procedures</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Company maintains disclosure controls and procedures (as defined in Rule 13a-15(e) under the Exchange Act) that are designed to ensure that information required to be disclosed in the Company’s reports under the Exchange Act is recorded, processed, summarized and reported within the time periods specified in the Securities and Exchange Commission’s rules and forms, and that such information is accumulated and communicated to the Company’s management, including the Chief Executive Officer and the Chief Financial Officer, as appropriate, to allow timely decisions regarding required disclosure.</w:t>
      </w:r>
    </w:p>
    <w:p>
      <w:pPr>
        <w:spacing w:after="0" w:line="164"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Exchange Act), as of December 31, 2023. A material weakness is a deficiency, or combination of deficiencies, in internal control over financial reporting, such that there is a reasonable possibility that a material misstatement of our annual and interim financial statements will not be prevented or detected in a timely manner. Based on that evaluation, the Chief Executive Officer and Chief Financial Officer have concluded that our disclosure controls and procedures were not effective as of such date due to a material weakness in the internal control over financial reporting as discussed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Management’s Report on Internal Control over Financial Reporting</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for the Company.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financial statements; because of its inherent limitations, internal control over financial reporting is not intended to provide absolute assurance that a misstatement of our financial statements would be prevented or detected.</w:t>
      </w:r>
    </w:p>
    <w:p>
      <w:pPr>
        <w:spacing w:after="0" w:line="166" w:lineRule="exact"/>
        <w:rPr>
          <w:sz w:val="20"/>
          <w:szCs w:val="20"/>
          <w:color w:val="auto"/>
        </w:rPr>
      </w:pPr>
    </w:p>
    <w:p>
      <w:pPr>
        <w:jc w:val="both"/>
        <w:ind w:firstLine="282"/>
        <w:spacing w:after="0" w:line="267" w:lineRule="auto"/>
        <w:rPr>
          <w:sz w:val="20"/>
          <w:szCs w:val="20"/>
          <w:color w:val="auto"/>
        </w:rPr>
      </w:pPr>
      <w:r>
        <w:rPr>
          <w:rFonts w:ascii="Times New Roman" w:cs="Times New Roman" w:eastAsia="Times New Roman" w:hAnsi="Times New Roman"/>
          <w:sz w:val="15"/>
          <w:szCs w:val="15"/>
          <w:color w:val="auto"/>
        </w:rPr>
        <w:t>Under the supervision and with the participation of management, including the persons serving as our chief executive officer and chief financial officer, we conducted an evaluation of the effectiveness of our internal control over financial reporting based on the framework in Internal Control — Integrated Framework (2013) issued by the Committee of Sponsoring Organizations of the Treadway Commission (“COSO”). Based on this evaluation, management has concluded that our internal control over financial reporting was not effective as of December 31, 2023, due to failure to properly design and implement controls related to the accounting for income taxes and disclosure controls related to deferred taxes in the consolidated financial statements; failure to properly classify certain operating expenses and games server costs as cost of revenues in the consolidated financial statements; failure to identify and allocate the consideration received from a settlement between the settlement gain and revenues generating activities; failure to properly determine the stand-alone selling prices of each performance obligation for certain digital revenue contracts; and, failure to design and implement information technology general controls related to segregation of duties within an information system relevant to the preparation of the Company’s consolidated financial statements.</w:t>
      </w:r>
    </w:p>
    <w:p>
      <w:pPr>
        <w:spacing w:after="0" w:line="15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intend to enhance our financial reporting close control procedures by implementing additional review of unusual transactions, improving our segregation of duties in the recording and approving of transactions, ensuring the completeness of our income tax footnote disclosure through consultation with income tax professionals, hire experts to assist in preparing our revenue recognition policies, and hire experts in designing and implementing custom approval workflows in our ERP system in order to remediate these material weaknesses. See “Risk Factors - General Risk Factors - We identified a material weakness in our internal controls over financial reporting and we may identify additional material weaknesses in the future that may cause us to fail to meet our reporting obligations or result in material misstatements of our financial statements. If we do not effectively remediate the material weakness or if we otherwise fail to maintain effective internal controls over financial reporting, we may not be able to accurately and timely report our financial results.”</w:t>
      </w:r>
    </w:p>
    <w:p>
      <w:pPr>
        <w:spacing w:after="0" w:line="168"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In light of the material weakness, we performed additional analyses and reconciliations to determine that our consolidated financial statements are prepared in accordance with U.S. GAAP. Accordingly, the Chief Executive Officer and Chief Financial Officer concluded that the consolidated financial statements included in this Annual Report fairly present in all material respects our financial condition, results of operations and cash flows for the periods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During the year ended December 31, 2023, we have made changes in our internal control over financial reporting (as defined in Rules 13a-15(f) and 15d-15(f) under the Exchange Act) which have materially affected, or are reasonably likely to materially affect, our internal control over financial reporting. These changes include, but are not limited to, the implementation of additional reviews over equity related disclosures, certain items in the statements of cashflows, and additional inquiries of executive management and board members of any contracts entered during each reporting period on behalf of the Company. As such, we have concluded that material weaknesses previously reported on lack of documented controls over equity, failure to implement sufficient disclosure controls related to certain items in the statement of cash flows and failure to identify, record and disclose related party transactions, have been remediated.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Attestation Report of Independent Registered Public Accounting Firm</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This Annual Report does not include an attestation report of our registered independent public accounting firm regarding internal control over financial reporting due to an exemption established by the JOBS Act for “emerging growth companies.”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94" w:name="page95"/>
    <w:bookmarkEnd w:id="94"/>
    <w:p>
      <w:pPr>
        <w:ind w:left="530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information required by this item will be included in an amendment to this Annual Report on Form 10-K or incorporated by reference from our Proxy Statement.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information required by this item will be included in an amendment to this Annual Report on Form 10-K or incorporated by reference from our Proxy Statement.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information required by this item will be included in an amendment to this Annual Report on Form 10-K or incorporated by reference from our Proxy Statement.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information required by this item will be included in an amendment to this Annual Report on Form 10-K or incorporated by reference from our Proxy Statement.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194" w:lineRule="exact"/>
        <w:rPr>
          <w:sz w:val="20"/>
          <w:szCs w:val="20"/>
          <w:color w:val="auto"/>
        </w:rPr>
      </w:pPr>
    </w:p>
    <w:p>
      <w:pPr>
        <w:jc w:val="center"/>
        <w:ind w:left="600"/>
        <w:spacing w:after="0" w:line="516" w:lineRule="auto"/>
        <w:rPr>
          <w:sz w:val="20"/>
          <w:szCs w:val="20"/>
          <w:color w:val="auto"/>
        </w:rPr>
      </w:pPr>
      <w:r>
        <w:rPr>
          <w:rFonts w:ascii="Times New Roman" w:cs="Times New Roman" w:eastAsia="Times New Roman" w:hAnsi="Times New Roman"/>
          <w:sz w:val="16"/>
          <w:szCs w:val="16"/>
          <w:color w:val="auto"/>
        </w:rPr>
        <w:t>The information required by this item will be included in an amendment to this Annual Report on Form 10-K or incorporated by reference from our Proxy Statement.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5010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660"/>
          </w:cols>
          <w:pgMar w:left="320" w:top="497" w:right="9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Financial Statement Schedules.</w:t>
      </w:r>
    </w:p>
    <w:p>
      <w:pPr>
        <w:spacing w:after="0" w:line="194" w:lineRule="exact"/>
        <w:rPr>
          <w:sz w:val="20"/>
          <w:szCs w:val="20"/>
          <w:color w:val="auto"/>
        </w:rPr>
      </w:pPr>
    </w:p>
    <w:p>
      <w:pPr>
        <w:ind w:left="560" w:right="20" w:hanging="284"/>
        <w:spacing w:after="0" w:line="270"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Financial Statements. For a list of the financial statements included herein, see Index to the Consolidated Financial Statements in “Item 8. Financial Statements and Supplementary Data.”</w:t>
      </w:r>
    </w:p>
    <w:p>
      <w:pPr>
        <w:spacing w:after="0" w:line="150"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 Schedule: All schedules have been omitted because they are not required or because the required information is given in the consolidated financial statements or notes thereto.</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 The exhibits listed in the accompanying index to exhibits are filed or incorporated by reference as part of this Annual Report on Form 10-K.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Exhibit Index</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5"/>
          </w:tcPr>
          <w:p>
            <w:pPr>
              <w:jc w:val="center"/>
              <w:ind w:right="822"/>
              <w:spacing w:after="0"/>
              <w:rPr>
                <w:sz w:val="20"/>
                <w:szCs w:val="20"/>
                <w:color w:val="auto"/>
              </w:rPr>
            </w:pPr>
            <w:r>
              <w:rPr>
                <w:rFonts w:ascii="Times New Roman" w:cs="Times New Roman" w:eastAsia="Times New Roman" w:hAnsi="Times New Roman"/>
                <w:sz w:val="16"/>
                <w:szCs w:val="16"/>
                <w:b w:val="1"/>
                <w:bCs w:val="1"/>
                <w:color w:val="auto"/>
                <w:w w:val="97"/>
              </w:rPr>
              <w:t>Incorporation by Reference</w:t>
            </w:r>
          </w:p>
        </w:tc>
        <w:tc>
          <w:tcPr>
            <w:tcW w:w="0" w:type="dxa"/>
            <w:vAlign w:val="bottom"/>
          </w:tcPr>
          <w:p>
            <w:pPr>
              <w:spacing w:after="0"/>
              <w:rPr>
                <w:sz w:val="1"/>
                <w:szCs w:val="1"/>
                <w:color w:val="auto"/>
              </w:rPr>
            </w:pPr>
          </w:p>
        </w:tc>
      </w:tr>
      <w:tr>
        <w:trPr>
          <w:trHeight w:val="192"/>
        </w:trPr>
        <w:tc>
          <w:tcPr>
            <w:tcW w:w="68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20" w:type="dxa"/>
            <w:vAlign w:val="bottom"/>
            <w:gridSpan w:val="10"/>
          </w:tcPr>
          <w:p>
            <w:pPr>
              <w:ind w:left="2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3.1</w:t>
            </w:r>
          </w:p>
        </w:tc>
        <w:tc>
          <w:tcPr>
            <w:tcW w:w="240" w:type="dxa"/>
            <w:vAlign w:val="bottom"/>
            <w:shd w:val="clear" w:color="auto" w:fill="CCEEFF"/>
          </w:tcPr>
          <w:p>
            <w:pPr>
              <w:spacing w:after="0"/>
              <w:rPr>
                <w:sz w:val="14"/>
                <w:szCs w:val="14"/>
                <w:color w:val="auto"/>
              </w:rPr>
            </w:pPr>
          </w:p>
        </w:tc>
        <w:tc>
          <w:tcPr>
            <w:tcW w:w="5640" w:type="dxa"/>
            <w:vAlign w:val="bottom"/>
            <w:gridSpan w:val="17"/>
            <w:shd w:val="clear" w:color="auto" w:fill="CCEEFF"/>
          </w:tcPr>
          <w:p>
            <w:pPr>
              <w:spacing w:after="0" w:line="153" w:lineRule="exact"/>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Amended and Restated Certificate of Incorporation of Snail, Inc.</w:t>
              </w:r>
            </w:hyperlink>
          </w:p>
        </w:tc>
        <w:tc>
          <w:tcPr>
            <w:tcW w:w="880" w:type="dxa"/>
            <w:vAlign w:val="bottom"/>
            <w:gridSpan w:val="2"/>
            <w:shd w:val="clear" w:color="auto" w:fill="CCEEFF"/>
          </w:tcPr>
          <w:p>
            <w:pPr>
              <w:jc w:val="center"/>
              <w:ind w:right="240"/>
              <w:spacing w:after="0" w:line="153" w:lineRule="exact"/>
              <w:rPr>
                <w:sz w:val="20"/>
                <w:szCs w:val="20"/>
                <w:color w:val="auto"/>
              </w:rPr>
            </w:pPr>
            <w:r>
              <w:rPr>
                <w:rFonts w:ascii="Times New Roman" w:cs="Times New Roman" w:eastAsia="Times New Roman" w:hAnsi="Times New Roman"/>
                <w:sz w:val="16"/>
                <w:szCs w:val="16"/>
                <w:color w:val="auto"/>
                <w:w w:val="96"/>
              </w:rPr>
              <w:t>8-K</w:t>
            </w:r>
          </w:p>
        </w:tc>
        <w:tc>
          <w:tcPr>
            <w:tcW w:w="9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001-41556</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3.1</w:t>
            </w:r>
          </w:p>
        </w:tc>
        <w:tc>
          <w:tcPr>
            <w:tcW w:w="2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7"/>
              </w:rPr>
              <w:t>November 15,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14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3.2</w:t>
            </w:r>
          </w:p>
        </w:tc>
        <w:tc>
          <w:tcPr>
            <w:tcW w:w="240" w:type="dxa"/>
            <w:vAlign w:val="bottom"/>
            <w:shd w:val="clear" w:color="auto" w:fill="CCEEFF"/>
          </w:tcPr>
          <w:p>
            <w:pPr>
              <w:spacing w:after="0"/>
              <w:rPr>
                <w:sz w:val="14"/>
                <w:szCs w:val="14"/>
                <w:color w:val="auto"/>
              </w:rPr>
            </w:pPr>
          </w:p>
        </w:tc>
        <w:tc>
          <w:tcPr>
            <w:tcW w:w="5640" w:type="dxa"/>
            <w:vAlign w:val="bottom"/>
            <w:gridSpan w:val="17"/>
            <w:shd w:val="clear" w:color="auto" w:fill="CCEEFF"/>
          </w:tcPr>
          <w:p>
            <w:pPr>
              <w:spacing w:after="0" w:line="153"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Amended and Restated Bylaws of Snail, Inc.</w:t>
              </w:r>
            </w:hyperlink>
          </w:p>
        </w:tc>
        <w:tc>
          <w:tcPr>
            <w:tcW w:w="880" w:type="dxa"/>
            <w:vAlign w:val="bottom"/>
            <w:gridSpan w:val="2"/>
            <w:shd w:val="clear" w:color="auto" w:fill="CCEEFF"/>
          </w:tcPr>
          <w:p>
            <w:pPr>
              <w:jc w:val="center"/>
              <w:ind w:right="240"/>
              <w:spacing w:after="0" w:line="153" w:lineRule="exact"/>
              <w:rPr>
                <w:sz w:val="20"/>
                <w:szCs w:val="20"/>
                <w:color w:val="auto"/>
              </w:rPr>
            </w:pPr>
            <w:r>
              <w:rPr>
                <w:rFonts w:ascii="Times New Roman" w:cs="Times New Roman" w:eastAsia="Times New Roman" w:hAnsi="Times New Roman"/>
                <w:sz w:val="16"/>
                <w:szCs w:val="16"/>
                <w:color w:val="auto"/>
                <w:w w:val="96"/>
              </w:rPr>
              <w:t>8-K</w:t>
            </w:r>
          </w:p>
        </w:tc>
        <w:tc>
          <w:tcPr>
            <w:tcW w:w="9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001-41556</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3.2</w:t>
            </w:r>
          </w:p>
        </w:tc>
        <w:tc>
          <w:tcPr>
            <w:tcW w:w="2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7"/>
              </w:rPr>
              <w:t>November 15,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4.1</w:t>
            </w:r>
          </w:p>
        </w:tc>
        <w:tc>
          <w:tcPr>
            <w:tcW w:w="240" w:type="dxa"/>
            <w:vAlign w:val="bottom"/>
            <w:shd w:val="clear" w:color="auto" w:fill="CCEEFF"/>
          </w:tcPr>
          <w:p>
            <w:pPr>
              <w:spacing w:after="0"/>
              <w:rPr>
                <w:sz w:val="14"/>
                <w:szCs w:val="14"/>
                <w:color w:val="auto"/>
              </w:rPr>
            </w:pPr>
          </w:p>
        </w:tc>
        <w:tc>
          <w:tcPr>
            <w:tcW w:w="5640" w:type="dxa"/>
            <w:vAlign w:val="bottom"/>
            <w:gridSpan w:val="17"/>
            <w:shd w:val="clear" w:color="auto" w:fill="CCEEFF"/>
          </w:tcPr>
          <w:p>
            <w:pPr>
              <w:spacing w:after="0" w:line="153"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Form of Certificate of Class A Common Stock</w:t>
              </w:r>
            </w:hyperlink>
          </w:p>
        </w:tc>
        <w:tc>
          <w:tcPr>
            <w:tcW w:w="880" w:type="dxa"/>
            <w:vAlign w:val="bottom"/>
            <w:gridSpan w:val="2"/>
            <w:shd w:val="clear" w:color="auto" w:fill="CCEEFF"/>
          </w:tcPr>
          <w:p>
            <w:pPr>
              <w:jc w:val="center"/>
              <w:ind w:right="220"/>
              <w:spacing w:after="0" w:line="153" w:lineRule="exact"/>
              <w:rPr>
                <w:sz w:val="20"/>
                <w:szCs w:val="20"/>
                <w:color w:val="auto"/>
              </w:rPr>
            </w:pPr>
            <w:r>
              <w:rPr>
                <w:rFonts w:ascii="Times New Roman" w:cs="Times New Roman" w:eastAsia="Times New Roman" w:hAnsi="Times New Roman"/>
                <w:sz w:val="16"/>
                <w:szCs w:val="16"/>
                <w:color w:val="auto"/>
                <w:w w:val="98"/>
              </w:rPr>
              <w:t>S-1</w:t>
            </w:r>
          </w:p>
        </w:tc>
        <w:tc>
          <w:tcPr>
            <w:tcW w:w="9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333-267483</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4.1</w:t>
            </w:r>
          </w:p>
        </w:tc>
        <w:tc>
          <w:tcPr>
            <w:tcW w:w="2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September 16,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4.2</w:t>
            </w:r>
          </w:p>
        </w:tc>
        <w:tc>
          <w:tcPr>
            <w:tcW w:w="240" w:type="dxa"/>
            <w:vAlign w:val="bottom"/>
            <w:shd w:val="clear" w:color="auto" w:fill="CCEEFF"/>
          </w:tcPr>
          <w:p>
            <w:pPr>
              <w:spacing w:after="0"/>
              <w:rPr>
                <w:sz w:val="14"/>
                <w:szCs w:val="14"/>
                <w:color w:val="auto"/>
              </w:rPr>
            </w:pPr>
          </w:p>
        </w:tc>
        <w:tc>
          <w:tcPr>
            <w:tcW w:w="5640" w:type="dxa"/>
            <w:vAlign w:val="bottom"/>
            <w:gridSpan w:val="17"/>
            <w:shd w:val="clear" w:color="auto" w:fill="CCEEFF"/>
          </w:tcPr>
          <w:p>
            <w:pPr>
              <w:spacing w:after="0" w:line="153"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Form of Underwriters’ Warrants</w:t>
              </w:r>
            </w:hyperlink>
          </w:p>
        </w:tc>
        <w:tc>
          <w:tcPr>
            <w:tcW w:w="880" w:type="dxa"/>
            <w:vAlign w:val="bottom"/>
            <w:gridSpan w:val="2"/>
            <w:shd w:val="clear" w:color="auto" w:fill="CCEEFF"/>
          </w:tcPr>
          <w:p>
            <w:pPr>
              <w:jc w:val="center"/>
              <w:ind w:right="220"/>
              <w:spacing w:after="0" w:line="153" w:lineRule="exact"/>
              <w:rPr>
                <w:sz w:val="20"/>
                <w:szCs w:val="20"/>
                <w:color w:val="auto"/>
              </w:rPr>
            </w:pPr>
            <w:r>
              <w:rPr>
                <w:rFonts w:ascii="Times New Roman" w:cs="Times New Roman" w:eastAsia="Times New Roman" w:hAnsi="Times New Roman"/>
                <w:sz w:val="16"/>
                <w:szCs w:val="16"/>
                <w:color w:val="auto"/>
                <w:w w:val="99"/>
              </w:rPr>
              <w:t>S-1/A</w:t>
            </w:r>
          </w:p>
        </w:tc>
        <w:tc>
          <w:tcPr>
            <w:tcW w:w="9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333-267483</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4.2</w:t>
            </w:r>
          </w:p>
        </w:tc>
        <w:tc>
          <w:tcPr>
            <w:tcW w:w="2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October 17,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4.3</w:t>
            </w:r>
          </w:p>
        </w:tc>
        <w:tc>
          <w:tcPr>
            <w:tcW w:w="240" w:type="dxa"/>
            <w:vAlign w:val="bottom"/>
            <w:shd w:val="clear" w:color="auto" w:fill="CCEEFF"/>
          </w:tcPr>
          <w:p>
            <w:pPr>
              <w:spacing w:after="0"/>
              <w:rPr>
                <w:sz w:val="14"/>
                <w:szCs w:val="14"/>
                <w:color w:val="auto"/>
              </w:rPr>
            </w:pPr>
          </w:p>
        </w:tc>
        <w:tc>
          <w:tcPr>
            <w:tcW w:w="5640" w:type="dxa"/>
            <w:vAlign w:val="bottom"/>
            <w:gridSpan w:val="17"/>
            <w:shd w:val="clear" w:color="auto" w:fill="CCEEFF"/>
          </w:tcPr>
          <w:p>
            <w:pPr>
              <w:spacing w:after="0" w:line="15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Description of the Registrant’s Securities</w:t>
              </w:r>
            </w:hyperlink>
          </w:p>
        </w:tc>
        <w:tc>
          <w:tcPr>
            <w:tcW w:w="880" w:type="dxa"/>
            <w:vAlign w:val="bottom"/>
            <w:gridSpan w:val="2"/>
            <w:shd w:val="clear" w:color="auto" w:fill="CCEEFF"/>
          </w:tcPr>
          <w:p>
            <w:pPr>
              <w:jc w:val="center"/>
              <w:ind w:right="240"/>
              <w:spacing w:after="0" w:line="153" w:lineRule="exact"/>
              <w:rPr>
                <w:sz w:val="20"/>
                <w:szCs w:val="20"/>
                <w:color w:val="auto"/>
              </w:rPr>
            </w:pPr>
            <w:r>
              <w:rPr>
                <w:rFonts w:ascii="Times New Roman" w:cs="Times New Roman" w:eastAsia="Times New Roman" w:hAnsi="Times New Roman"/>
                <w:sz w:val="16"/>
                <w:szCs w:val="16"/>
                <w:color w:val="auto"/>
                <w:w w:val="97"/>
              </w:rPr>
              <w:t>10-K</w:t>
            </w:r>
          </w:p>
        </w:tc>
        <w:tc>
          <w:tcPr>
            <w:tcW w:w="9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001-41556</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4.3</w:t>
            </w:r>
          </w:p>
        </w:tc>
        <w:tc>
          <w:tcPr>
            <w:tcW w:w="2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March 29,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4.4</w:t>
            </w:r>
          </w:p>
        </w:tc>
        <w:tc>
          <w:tcPr>
            <w:tcW w:w="240" w:type="dxa"/>
            <w:vAlign w:val="bottom"/>
            <w:shd w:val="clear" w:color="auto" w:fill="CCEEFF"/>
          </w:tcPr>
          <w:p>
            <w:pPr>
              <w:spacing w:after="0"/>
              <w:rPr>
                <w:sz w:val="14"/>
                <w:szCs w:val="14"/>
                <w:color w:val="auto"/>
              </w:rPr>
            </w:pPr>
          </w:p>
        </w:tc>
        <w:tc>
          <w:tcPr>
            <w:tcW w:w="5640" w:type="dxa"/>
            <w:vAlign w:val="bottom"/>
            <w:gridSpan w:val="17"/>
            <w:shd w:val="clear" w:color="auto" w:fill="CCEEFF"/>
          </w:tcPr>
          <w:p>
            <w:pPr>
              <w:spacing w:after="0" w:line="153"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Form of Crom Warrant</w:t>
              </w:r>
            </w:hyperlink>
          </w:p>
        </w:tc>
        <w:tc>
          <w:tcPr>
            <w:tcW w:w="880" w:type="dxa"/>
            <w:vAlign w:val="bottom"/>
            <w:gridSpan w:val="2"/>
            <w:shd w:val="clear" w:color="auto" w:fill="CCEEFF"/>
          </w:tcPr>
          <w:p>
            <w:pPr>
              <w:jc w:val="center"/>
              <w:ind w:right="240"/>
              <w:spacing w:after="0" w:line="153" w:lineRule="exact"/>
              <w:rPr>
                <w:sz w:val="20"/>
                <w:szCs w:val="20"/>
                <w:color w:val="auto"/>
              </w:rPr>
            </w:pPr>
            <w:r>
              <w:rPr>
                <w:rFonts w:ascii="Times New Roman" w:cs="Times New Roman" w:eastAsia="Times New Roman" w:hAnsi="Times New Roman"/>
                <w:sz w:val="16"/>
                <w:szCs w:val="16"/>
                <w:color w:val="auto"/>
                <w:w w:val="96"/>
              </w:rPr>
              <w:t>8-K</w:t>
            </w:r>
          </w:p>
        </w:tc>
        <w:tc>
          <w:tcPr>
            <w:tcW w:w="9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001-41556</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4.1</w:t>
            </w:r>
          </w:p>
        </w:tc>
        <w:tc>
          <w:tcPr>
            <w:tcW w:w="2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7"/>
              </w:rPr>
              <w:t>August 30,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4.5</w:t>
            </w:r>
          </w:p>
        </w:tc>
        <w:tc>
          <w:tcPr>
            <w:tcW w:w="240" w:type="dxa"/>
            <w:vAlign w:val="bottom"/>
            <w:shd w:val="clear" w:color="auto" w:fill="CCEEFF"/>
          </w:tcPr>
          <w:p>
            <w:pPr>
              <w:spacing w:after="0"/>
              <w:rPr>
                <w:sz w:val="14"/>
                <w:szCs w:val="14"/>
                <w:color w:val="auto"/>
              </w:rPr>
            </w:pPr>
          </w:p>
        </w:tc>
        <w:tc>
          <w:tcPr>
            <w:tcW w:w="5640" w:type="dxa"/>
            <w:vAlign w:val="bottom"/>
            <w:gridSpan w:val="17"/>
            <w:shd w:val="clear" w:color="auto" w:fill="CCEEFF"/>
          </w:tcPr>
          <w:p>
            <w:pPr>
              <w:spacing w:after="0" w:line="153"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Form of Equity Line Warrant</w:t>
              </w:r>
            </w:hyperlink>
          </w:p>
        </w:tc>
        <w:tc>
          <w:tcPr>
            <w:tcW w:w="880" w:type="dxa"/>
            <w:vAlign w:val="bottom"/>
            <w:gridSpan w:val="2"/>
            <w:shd w:val="clear" w:color="auto" w:fill="CCEEFF"/>
          </w:tcPr>
          <w:p>
            <w:pPr>
              <w:jc w:val="center"/>
              <w:ind w:right="240"/>
              <w:spacing w:after="0" w:line="153" w:lineRule="exact"/>
              <w:rPr>
                <w:sz w:val="20"/>
                <w:szCs w:val="20"/>
                <w:color w:val="auto"/>
              </w:rPr>
            </w:pPr>
            <w:r>
              <w:rPr>
                <w:rFonts w:ascii="Times New Roman" w:cs="Times New Roman" w:eastAsia="Times New Roman" w:hAnsi="Times New Roman"/>
                <w:sz w:val="16"/>
                <w:szCs w:val="16"/>
                <w:color w:val="auto"/>
                <w:w w:val="96"/>
              </w:rPr>
              <w:t>8-K</w:t>
            </w:r>
          </w:p>
        </w:tc>
        <w:tc>
          <w:tcPr>
            <w:tcW w:w="9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001-41556</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4.2</w:t>
            </w:r>
          </w:p>
        </w:tc>
        <w:tc>
          <w:tcPr>
            <w:tcW w:w="2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7"/>
              </w:rPr>
              <w:t>August 30,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4.6</w:t>
            </w:r>
          </w:p>
        </w:tc>
        <w:tc>
          <w:tcPr>
            <w:tcW w:w="240" w:type="dxa"/>
            <w:vAlign w:val="bottom"/>
            <w:shd w:val="clear" w:color="auto" w:fill="CCEEFF"/>
          </w:tcPr>
          <w:p>
            <w:pPr>
              <w:spacing w:after="0"/>
              <w:rPr>
                <w:sz w:val="14"/>
                <w:szCs w:val="14"/>
                <w:color w:val="auto"/>
              </w:rPr>
            </w:pPr>
          </w:p>
        </w:tc>
        <w:tc>
          <w:tcPr>
            <w:tcW w:w="5640" w:type="dxa"/>
            <w:vAlign w:val="bottom"/>
            <w:gridSpan w:val="17"/>
            <w:shd w:val="clear" w:color="auto" w:fill="CCEEFF"/>
          </w:tcPr>
          <w:p>
            <w:pPr>
              <w:spacing w:after="0" w:line="15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Form of Note</w:t>
              </w:r>
            </w:hyperlink>
          </w:p>
        </w:tc>
        <w:tc>
          <w:tcPr>
            <w:tcW w:w="880" w:type="dxa"/>
            <w:vAlign w:val="bottom"/>
            <w:gridSpan w:val="2"/>
            <w:shd w:val="clear" w:color="auto" w:fill="CCEEFF"/>
          </w:tcPr>
          <w:p>
            <w:pPr>
              <w:jc w:val="center"/>
              <w:ind w:right="240"/>
              <w:spacing w:after="0" w:line="153" w:lineRule="exact"/>
              <w:rPr>
                <w:sz w:val="20"/>
                <w:szCs w:val="20"/>
                <w:color w:val="auto"/>
              </w:rPr>
            </w:pPr>
            <w:r>
              <w:rPr>
                <w:rFonts w:ascii="Times New Roman" w:cs="Times New Roman" w:eastAsia="Times New Roman" w:hAnsi="Times New Roman"/>
                <w:sz w:val="16"/>
                <w:szCs w:val="16"/>
                <w:color w:val="auto"/>
                <w:w w:val="96"/>
              </w:rPr>
              <w:t>8-K</w:t>
            </w:r>
          </w:p>
        </w:tc>
        <w:tc>
          <w:tcPr>
            <w:tcW w:w="9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001-41556</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4.3</w:t>
            </w:r>
          </w:p>
        </w:tc>
        <w:tc>
          <w:tcPr>
            <w:tcW w:w="2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7"/>
              </w:rPr>
              <w:t>August 30,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10.1</w:t>
            </w:r>
          </w:p>
        </w:tc>
        <w:tc>
          <w:tcPr>
            <w:tcW w:w="240" w:type="dxa"/>
            <w:vAlign w:val="bottom"/>
            <w:shd w:val="clear" w:color="auto" w:fill="CCEEFF"/>
          </w:tcPr>
          <w:p>
            <w:pPr>
              <w:spacing w:after="0"/>
              <w:rPr>
                <w:sz w:val="13"/>
                <w:szCs w:val="13"/>
                <w:color w:val="auto"/>
              </w:rPr>
            </w:pPr>
          </w:p>
        </w:tc>
        <w:tc>
          <w:tcPr>
            <w:tcW w:w="5640" w:type="dxa"/>
            <w:vAlign w:val="bottom"/>
            <w:gridSpan w:val="17"/>
            <w:shd w:val="clear" w:color="auto" w:fill="CCEEFF"/>
          </w:tcPr>
          <w:p>
            <w:pPr>
              <w:spacing w:after="0" w:line="153" w:lineRule="exact"/>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Amended and Restated Exclusive Software License Agreement, effective as of</w:t>
              </w:r>
            </w:hyperlink>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380" w:type="dxa"/>
            <w:vAlign w:val="bottom"/>
            <w:tcBorders>
              <w:top w:val="single" w:sz="8" w:color="0000EE"/>
            </w:tcBorders>
            <w:gridSpan w:val="14"/>
            <w:shd w:val="clear" w:color="auto" w:fill="CCEEFF"/>
          </w:tcPr>
          <w:p>
            <w:pPr>
              <w:spacing w:after="0" w:line="168" w:lineRule="exact"/>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January 1, 2022, by and between Snail Games USA Inc. and SDE Inc.</w:t>
              </w:r>
            </w:hyperlink>
          </w:p>
        </w:tc>
        <w:tc>
          <w:tcPr>
            <w:tcW w:w="260" w:type="dxa"/>
            <w:vAlign w:val="bottom"/>
            <w:tcBorders>
              <w:top w:val="single" w:sz="8" w:color="CCEEFF"/>
            </w:tcBorders>
            <w:gridSpan w:val="3"/>
            <w:shd w:val="clear" w:color="auto" w:fill="CCEEFF"/>
          </w:tcPr>
          <w:p>
            <w:pPr>
              <w:spacing w:after="0"/>
              <w:rPr>
                <w:sz w:val="15"/>
                <w:szCs w:val="15"/>
                <w:color w:val="auto"/>
              </w:rPr>
            </w:pPr>
          </w:p>
        </w:tc>
        <w:tc>
          <w:tcPr>
            <w:tcW w:w="880" w:type="dxa"/>
            <w:vAlign w:val="bottom"/>
            <w:tcBorders>
              <w:top w:val="single" w:sz="8" w:color="CCEEFF"/>
            </w:tcBorders>
            <w:gridSpan w:val="2"/>
            <w:shd w:val="clear" w:color="auto" w:fill="CCEEFF"/>
          </w:tcPr>
          <w:p>
            <w:pPr>
              <w:jc w:val="center"/>
              <w:ind w:right="220"/>
              <w:spacing w:after="0" w:line="168" w:lineRule="exact"/>
              <w:rPr>
                <w:sz w:val="20"/>
                <w:szCs w:val="20"/>
                <w:color w:val="auto"/>
              </w:rPr>
            </w:pPr>
            <w:r>
              <w:rPr>
                <w:rFonts w:ascii="Times New Roman" w:cs="Times New Roman" w:eastAsia="Times New Roman" w:hAnsi="Times New Roman"/>
                <w:sz w:val="16"/>
                <w:szCs w:val="16"/>
                <w:color w:val="auto"/>
                <w:w w:val="99"/>
              </w:rPr>
              <w:t>S-1/A</w:t>
            </w:r>
          </w:p>
        </w:tc>
        <w:tc>
          <w:tcPr>
            <w:tcW w:w="9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10.12</w:t>
            </w:r>
          </w:p>
        </w:tc>
        <w:tc>
          <w:tcPr>
            <w:tcW w:w="2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October 17,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1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6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10.2</w:t>
            </w:r>
          </w:p>
        </w:tc>
        <w:tc>
          <w:tcPr>
            <w:tcW w:w="240" w:type="dxa"/>
            <w:vAlign w:val="bottom"/>
            <w:tcBorders>
              <w:bottom w:val="single" w:sz="8" w:color="CCEEFF"/>
            </w:tcBorders>
            <w:shd w:val="clear" w:color="auto" w:fill="CCEEFF"/>
          </w:tcPr>
          <w:p>
            <w:pPr>
              <w:spacing w:after="0"/>
              <w:rPr>
                <w:sz w:val="13"/>
                <w:szCs w:val="13"/>
                <w:color w:val="auto"/>
              </w:rPr>
            </w:pPr>
          </w:p>
        </w:tc>
        <w:tc>
          <w:tcPr>
            <w:tcW w:w="5400" w:type="dxa"/>
            <w:vAlign w:val="bottom"/>
            <w:tcBorders>
              <w:bottom w:val="single" w:sz="8" w:color="0000EE"/>
            </w:tcBorders>
            <w:gridSpan w:val="15"/>
            <w:shd w:val="clear" w:color="auto" w:fill="CCEEFF"/>
          </w:tcPr>
          <w:p>
            <w:pPr>
              <w:spacing w:after="0" w:line="153" w:lineRule="exact"/>
              <w:rPr>
                <w:rFonts w:ascii="Times New Roman" w:cs="Times New Roman" w:eastAsia="Times New Roman" w:hAnsi="Times New Roman"/>
                <w:sz w:val="16"/>
                <w:szCs w:val="16"/>
                <w:color w:val="0000EE"/>
                <w:w w:val="97"/>
              </w:rPr>
            </w:pPr>
            <w:hyperlink r:id="rId115">
              <w:r>
                <w:rPr>
                  <w:rFonts w:ascii="Times New Roman" w:cs="Times New Roman" w:eastAsia="Times New Roman" w:hAnsi="Times New Roman"/>
                  <w:sz w:val="16"/>
                  <w:szCs w:val="16"/>
                  <w:color w:val="0000EE"/>
                  <w:w w:val="97"/>
                </w:rPr>
                <w:t>Amendment No. 1 to Amended and Restated Exclusive Software License Agreement,</w:t>
              </w:r>
            </w:hyperlink>
          </w:p>
        </w:tc>
        <w:tc>
          <w:tcPr>
            <w:tcW w:w="240" w:type="dxa"/>
            <w:vAlign w:val="bottom"/>
            <w:tcBorders>
              <w:bottom w:val="single" w:sz="8" w:color="CCEEFF"/>
            </w:tcBorders>
            <w:gridSpan w:val="2"/>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5400" w:type="dxa"/>
            <w:vAlign w:val="bottom"/>
            <w:tcBorders>
              <w:bottom w:val="single" w:sz="8" w:color="0000EE"/>
            </w:tcBorders>
            <w:gridSpan w:val="15"/>
            <w:shd w:val="clear" w:color="auto" w:fill="CCEEFF"/>
          </w:tcPr>
          <w:p>
            <w:pPr>
              <w:spacing w:after="0" w:line="168" w:lineRule="exact"/>
              <w:rPr>
                <w:rFonts w:ascii="Times New Roman" w:cs="Times New Roman" w:eastAsia="Times New Roman" w:hAnsi="Times New Roman"/>
                <w:sz w:val="16"/>
                <w:szCs w:val="16"/>
                <w:color w:val="0000EE"/>
                <w:w w:val="99"/>
              </w:rPr>
            </w:pPr>
            <w:hyperlink r:id="rId115">
              <w:r>
                <w:rPr>
                  <w:rFonts w:ascii="Times New Roman" w:cs="Times New Roman" w:eastAsia="Times New Roman" w:hAnsi="Times New Roman"/>
                  <w:sz w:val="16"/>
                  <w:szCs w:val="16"/>
                  <w:color w:val="0000EE"/>
                  <w:w w:val="99"/>
                </w:rPr>
                <w:t>effective as of December 13, 2022, by and between Snail Games USA Inc. and SDE</w:t>
              </w:r>
            </w:hyperlink>
          </w:p>
        </w:tc>
        <w:tc>
          <w:tcPr>
            <w:tcW w:w="240" w:type="dxa"/>
            <w:vAlign w:val="bottom"/>
            <w:tcBorders>
              <w:bottom w:val="single" w:sz="8" w:color="CCEEFF"/>
            </w:tcBorders>
            <w:gridSpan w:val="2"/>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40" w:type="dxa"/>
            <w:vAlign w:val="bottom"/>
            <w:gridSpan w:val="17"/>
            <w:shd w:val="clear" w:color="auto" w:fill="CCEEFF"/>
          </w:tcPr>
          <w:p>
            <w:pPr>
              <w:spacing w:after="0" w:line="168" w:lineRule="exact"/>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Inc.</w:t>
              </w:r>
            </w:hyperlink>
          </w:p>
        </w:tc>
        <w:tc>
          <w:tcPr>
            <w:tcW w:w="880" w:type="dxa"/>
            <w:vAlign w:val="bottom"/>
            <w:gridSpan w:val="2"/>
            <w:shd w:val="clear" w:color="auto" w:fill="CCEEFF"/>
          </w:tcPr>
          <w:p>
            <w:pPr>
              <w:jc w:val="center"/>
              <w:ind w:right="240"/>
              <w:spacing w:after="0" w:line="168" w:lineRule="exact"/>
              <w:rPr>
                <w:sz w:val="20"/>
                <w:szCs w:val="20"/>
                <w:color w:val="auto"/>
              </w:rPr>
            </w:pPr>
            <w:r>
              <w:rPr>
                <w:rFonts w:ascii="Times New Roman" w:cs="Times New Roman" w:eastAsia="Times New Roman" w:hAnsi="Times New Roman"/>
                <w:sz w:val="16"/>
                <w:szCs w:val="16"/>
                <w:color w:val="auto"/>
                <w:w w:val="97"/>
              </w:rPr>
              <w:t>10-Q</w:t>
            </w:r>
          </w:p>
        </w:tc>
        <w:tc>
          <w:tcPr>
            <w:tcW w:w="9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001-41556</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10.2</w:t>
            </w: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December 15,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6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10.3</w:t>
            </w:r>
          </w:p>
        </w:tc>
        <w:tc>
          <w:tcPr>
            <w:tcW w:w="240" w:type="dxa"/>
            <w:vAlign w:val="bottom"/>
            <w:tcBorders>
              <w:bottom w:val="single" w:sz="8" w:color="CCEEFF"/>
            </w:tcBorders>
            <w:shd w:val="clear" w:color="auto" w:fill="CCEEFF"/>
          </w:tcPr>
          <w:p>
            <w:pPr>
              <w:spacing w:after="0"/>
              <w:rPr>
                <w:sz w:val="13"/>
                <w:szCs w:val="13"/>
                <w:color w:val="auto"/>
              </w:rPr>
            </w:pPr>
          </w:p>
        </w:tc>
        <w:tc>
          <w:tcPr>
            <w:tcW w:w="5400" w:type="dxa"/>
            <w:vAlign w:val="bottom"/>
            <w:tcBorders>
              <w:bottom w:val="single" w:sz="8" w:color="0000EE"/>
            </w:tcBorders>
            <w:gridSpan w:val="15"/>
            <w:shd w:val="clear" w:color="auto" w:fill="CCEEFF"/>
          </w:tcPr>
          <w:p>
            <w:pPr>
              <w:spacing w:after="0" w:line="153" w:lineRule="exact"/>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Exclusive License Agreement, effective as of April 27, 2022, by and between Snail</w:t>
              </w:r>
            </w:hyperlink>
          </w:p>
        </w:tc>
        <w:tc>
          <w:tcPr>
            <w:tcW w:w="240" w:type="dxa"/>
            <w:vAlign w:val="bottom"/>
            <w:tcBorders>
              <w:bottom w:val="single" w:sz="8" w:color="CCEEFF"/>
            </w:tcBorders>
            <w:gridSpan w:val="2"/>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40" w:type="dxa"/>
            <w:vAlign w:val="bottom"/>
            <w:gridSpan w:val="17"/>
            <w:shd w:val="clear" w:color="auto" w:fill="CCEEFF"/>
          </w:tcPr>
          <w:p>
            <w:pPr>
              <w:spacing w:after="0" w:line="168" w:lineRule="exact"/>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Games USA Inc. and SDE Inc.</w:t>
              </w:r>
            </w:hyperlink>
          </w:p>
        </w:tc>
        <w:tc>
          <w:tcPr>
            <w:tcW w:w="880" w:type="dxa"/>
            <w:vAlign w:val="bottom"/>
            <w:gridSpan w:val="2"/>
            <w:shd w:val="clear" w:color="auto" w:fill="CCEEFF"/>
          </w:tcPr>
          <w:p>
            <w:pPr>
              <w:jc w:val="center"/>
              <w:ind w:right="220"/>
              <w:spacing w:after="0" w:line="168" w:lineRule="exact"/>
              <w:rPr>
                <w:sz w:val="20"/>
                <w:szCs w:val="20"/>
                <w:color w:val="auto"/>
              </w:rPr>
            </w:pPr>
            <w:r>
              <w:rPr>
                <w:rFonts w:ascii="Times New Roman" w:cs="Times New Roman" w:eastAsia="Times New Roman" w:hAnsi="Times New Roman"/>
                <w:sz w:val="16"/>
                <w:szCs w:val="16"/>
                <w:color w:val="auto"/>
                <w:w w:val="99"/>
              </w:rPr>
              <w:t>S-1/A</w:t>
            </w:r>
          </w:p>
        </w:tc>
        <w:tc>
          <w:tcPr>
            <w:tcW w:w="9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10.5</w:t>
            </w: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October 17,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10.4†</w:t>
            </w:r>
          </w:p>
        </w:tc>
        <w:tc>
          <w:tcPr>
            <w:tcW w:w="240" w:type="dxa"/>
            <w:vAlign w:val="bottom"/>
            <w:shd w:val="clear" w:color="auto" w:fill="CCEEFF"/>
          </w:tcPr>
          <w:p>
            <w:pPr>
              <w:spacing w:after="0"/>
              <w:rPr>
                <w:sz w:val="14"/>
                <w:szCs w:val="14"/>
                <w:color w:val="auto"/>
              </w:rPr>
            </w:pPr>
          </w:p>
        </w:tc>
        <w:tc>
          <w:tcPr>
            <w:tcW w:w="5640" w:type="dxa"/>
            <w:vAlign w:val="bottom"/>
            <w:gridSpan w:val="17"/>
            <w:shd w:val="clear" w:color="auto" w:fill="CCEEFF"/>
          </w:tcPr>
          <w:p>
            <w:pPr>
              <w:spacing w:after="0" w:line="153"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Snail, Inc. 2022 Omnibus Incentive Plan</w:t>
              </w:r>
            </w:hyperlink>
          </w:p>
        </w:tc>
        <w:tc>
          <w:tcPr>
            <w:tcW w:w="880" w:type="dxa"/>
            <w:vAlign w:val="bottom"/>
            <w:gridSpan w:val="2"/>
            <w:shd w:val="clear" w:color="auto" w:fill="CCEEFF"/>
          </w:tcPr>
          <w:p>
            <w:pPr>
              <w:jc w:val="center"/>
              <w:ind w:right="220"/>
              <w:spacing w:after="0" w:line="153" w:lineRule="exact"/>
              <w:rPr>
                <w:sz w:val="20"/>
                <w:szCs w:val="20"/>
                <w:color w:val="auto"/>
              </w:rPr>
            </w:pPr>
            <w:r>
              <w:rPr>
                <w:rFonts w:ascii="Times New Roman" w:cs="Times New Roman" w:eastAsia="Times New Roman" w:hAnsi="Times New Roman"/>
                <w:sz w:val="16"/>
                <w:szCs w:val="16"/>
                <w:color w:val="auto"/>
                <w:w w:val="99"/>
              </w:rPr>
              <w:t>S-1/A</w:t>
            </w:r>
          </w:p>
        </w:tc>
        <w:tc>
          <w:tcPr>
            <w:tcW w:w="9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333-267483</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10.11</w:t>
            </w:r>
          </w:p>
        </w:tc>
        <w:tc>
          <w:tcPr>
            <w:tcW w:w="2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October 26,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10.5†</w:t>
            </w:r>
          </w:p>
        </w:tc>
        <w:tc>
          <w:tcPr>
            <w:tcW w:w="240" w:type="dxa"/>
            <w:vAlign w:val="bottom"/>
            <w:shd w:val="clear" w:color="auto" w:fill="CCEEFF"/>
          </w:tcPr>
          <w:p>
            <w:pPr>
              <w:spacing w:after="0"/>
              <w:rPr>
                <w:sz w:val="13"/>
                <w:szCs w:val="13"/>
                <w:color w:val="auto"/>
              </w:rPr>
            </w:pPr>
          </w:p>
        </w:tc>
        <w:tc>
          <w:tcPr>
            <w:tcW w:w="5640" w:type="dxa"/>
            <w:vAlign w:val="bottom"/>
            <w:gridSpan w:val="17"/>
            <w:shd w:val="clear" w:color="auto" w:fill="CCEEFF"/>
          </w:tcPr>
          <w:p>
            <w:pPr>
              <w:spacing w:after="0" w:line="153" w:lineRule="exact"/>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Form of RSU Award Agreement (Employee) pursuant to the Snail, Inc. Omnibus</w:t>
              </w:r>
            </w:hyperlink>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380" w:type="dxa"/>
            <w:vAlign w:val="bottom"/>
            <w:tcBorders>
              <w:top w:val="single" w:sz="8" w:color="0000EE"/>
            </w:tcBorders>
            <w:gridSpan w:val="14"/>
            <w:shd w:val="clear" w:color="auto" w:fill="CCEEFF"/>
          </w:tcPr>
          <w:p>
            <w:pPr>
              <w:spacing w:after="0" w:line="168" w:lineRule="exact"/>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Incentive Plan</w:t>
              </w:r>
            </w:hyperlink>
          </w:p>
        </w:tc>
        <w:tc>
          <w:tcPr>
            <w:tcW w:w="260" w:type="dxa"/>
            <w:vAlign w:val="bottom"/>
            <w:tcBorders>
              <w:top w:val="single" w:sz="8" w:color="CCEEFF"/>
            </w:tcBorders>
            <w:gridSpan w:val="3"/>
            <w:shd w:val="clear" w:color="auto" w:fill="CCEEFF"/>
          </w:tcPr>
          <w:p>
            <w:pPr>
              <w:spacing w:after="0"/>
              <w:rPr>
                <w:sz w:val="15"/>
                <w:szCs w:val="15"/>
                <w:color w:val="auto"/>
              </w:rPr>
            </w:pPr>
          </w:p>
        </w:tc>
        <w:tc>
          <w:tcPr>
            <w:tcW w:w="880" w:type="dxa"/>
            <w:vAlign w:val="bottom"/>
            <w:tcBorders>
              <w:top w:val="single" w:sz="8" w:color="CCEEFF"/>
            </w:tcBorders>
            <w:gridSpan w:val="2"/>
            <w:shd w:val="clear" w:color="auto" w:fill="CCEEFF"/>
          </w:tcPr>
          <w:p>
            <w:pPr>
              <w:jc w:val="center"/>
              <w:ind w:right="220"/>
              <w:spacing w:after="0" w:line="168" w:lineRule="exact"/>
              <w:rPr>
                <w:sz w:val="20"/>
                <w:szCs w:val="20"/>
                <w:color w:val="auto"/>
              </w:rPr>
            </w:pPr>
            <w:r>
              <w:rPr>
                <w:rFonts w:ascii="Times New Roman" w:cs="Times New Roman" w:eastAsia="Times New Roman" w:hAnsi="Times New Roman"/>
                <w:sz w:val="16"/>
                <w:szCs w:val="16"/>
                <w:color w:val="auto"/>
                <w:w w:val="99"/>
              </w:rPr>
              <w:t>S-1/A</w:t>
            </w:r>
          </w:p>
        </w:tc>
        <w:tc>
          <w:tcPr>
            <w:tcW w:w="9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10.15</w:t>
            </w:r>
          </w:p>
        </w:tc>
        <w:tc>
          <w:tcPr>
            <w:tcW w:w="2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October 17,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6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10.6†</w:t>
            </w:r>
          </w:p>
        </w:tc>
        <w:tc>
          <w:tcPr>
            <w:tcW w:w="240" w:type="dxa"/>
            <w:vAlign w:val="bottom"/>
            <w:tcBorders>
              <w:bottom w:val="single" w:sz="8" w:color="CCEEFF"/>
            </w:tcBorders>
            <w:shd w:val="clear" w:color="auto" w:fill="CCEEFF"/>
          </w:tcPr>
          <w:p>
            <w:pPr>
              <w:spacing w:after="0"/>
              <w:rPr>
                <w:sz w:val="13"/>
                <w:szCs w:val="13"/>
                <w:color w:val="auto"/>
              </w:rPr>
            </w:pPr>
          </w:p>
        </w:tc>
        <w:tc>
          <w:tcPr>
            <w:tcW w:w="5400" w:type="dxa"/>
            <w:vAlign w:val="bottom"/>
            <w:tcBorders>
              <w:bottom w:val="single" w:sz="8" w:color="0000EE"/>
            </w:tcBorders>
            <w:gridSpan w:val="15"/>
            <w:shd w:val="clear" w:color="auto" w:fill="CCEEFF"/>
          </w:tcPr>
          <w:p>
            <w:pPr>
              <w:spacing w:after="0" w:line="153" w:lineRule="exact"/>
              <w:rPr>
                <w:rFonts w:ascii="Times New Roman" w:cs="Times New Roman" w:eastAsia="Times New Roman" w:hAnsi="Times New Roman"/>
                <w:sz w:val="16"/>
                <w:szCs w:val="16"/>
                <w:color w:val="0000EE"/>
                <w:w w:val="97"/>
              </w:rPr>
            </w:pPr>
            <w:hyperlink r:id="rId119">
              <w:r>
                <w:rPr>
                  <w:rFonts w:ascii="Times New Roman" w:cs="Times New Roman" w:eastAsia="Times New Roman" w:hAnsi="Times New Roman"/>
                  <w:sz w:val="16"/>
                  <w:szCs w:val="16"/>
                  <w:color w:val="0000EE"/>
                  <w:w w:val="97"/>
                </w:rPr>
                <w:t>Form of RSU Award Agreement (Non-Employee) pursuant to the Snail, Inc. Omnibus</w:t>
              </w:r>
            </w:hyperlink>
          </w:p>
        </w:tc>
        <w:tc>
          <w:tcPr>
            <w:tcW w:w="240" w:type="dxa"/>
            <w:vAlign w:val="bottom"/>
            <w:tcBorders>
              <w:bottom w:val="single" w:sz="8" w:color="CCEEFF"/>
            </w:tcBorders>
            <w:gridSpan w:val="2"/>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0000EE"/>
            </w:tcBorders>
            <w:gridSpan w:val="3"/>
            <w:shd w:val="clear" w:color="auto" w:fill="CCEEFF"/>
          </w:tcPr>
          <w:p>
            <w:pPr>
              <w:spacing w:after="0" w:line="168" w:lineRule="exact"/>
              <w:rPr>
                <w:rFonts w:ascii="Times New Roman" w:cs="Times New Roman" w:eastAsia="Times New Roman" w:hAnsi="Times New Roman"/>
                <w:sz w:val="16"/>
                <w:szCs w:val="16"/>
                <w:color w:val="0000EE"/>
                <w:w w:val="95"/>
              </w:rPr>
            </w:pPr>
            <w:hyperlink r:id="rId119">
              <w:r>
                <w:rPr>
                  <w:rFonts w:ascii="Times New Roman" w:cs="Times New Roman" w:eastAsia="Times New Roman" w:hAnsi="Times New Roman"/>
                  <w:sz w:val="16"/>
                  <w:szCs w:val="16"/>
                  <w:color w:val="0000EE"/>
                  <w:w w:val="95"/>
                </w:rPr>
                <w:t>Incentive Plan</w:t>
              </w:r>
            </w:hyperlink>
          </w:p>
        </w:tc>
        <w:tc>
          <w:tcPr>
            <w:tcW w:w="4740" w:type="dxa"/>
            <w:vAlign w:val="bottom"/>
            <w:tcBorders>
              <w:bottom w:val="single" w:sz="8" w:color="CCEEFF"/>
            </w:tcBorders>
            <w:gridSpan w:val="14"/>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220"/>
              <w:spacing w:after="0" w:line="168" w:lineRule="exact"/>
              <w:rPr>
                <w:sz w:val="20"/>
                <w:szCs w:val="20"/>
                <w:color w:val="auto"/>
              </w:rPr>
            </w:pPr>
            <w:r>
              <w:rPr>
                <w:rFonts w:ascii="Times New Roman" w:cs="Times New Roman" w:eastAsia="Times New Roman" w:hAnsi="Times New Roman"/>
                <w:sz w:val="16"/>
                <w:szCs w:val="16"/>
                <w:color w:val="auto"/>
                <w:w w:val="99"/>
              </w:rPr>
              <w:t>S-1/A</w:t>
            </w:r>
          </w:p>
        </w:tc>
        <w:tc>
          <w:tcPr>
            <w:tcW w:w="9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2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10.16</w:t>
            </w:r>
          </w:p>
        </w:tc>
        <w:tc>
          <w:tcPr>
            <w:tcW w:w="2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October 17, 2022</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15"/>
          </w:tcPr>
          <w:p>
            <w:pPr>
              <w:jc w:val="right"/>
              <w:ind w:right="600"/>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97" w:right="31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10.7</w:t>
            </w:r>
          </w:p>
        </w:tc>
        <w:tc>
          <w:tcPr>
            <w:tcW w:w="5400" w:type="dxa"/>
            <w:vAlign w:val="bottom"/>
            <w:tcBorders>
              <w:bottom w:val="single" w:sz="8" w:color="0000EE"/>
            </w:tcBorders>
            <w:gridSpan w:val="19"/>
            <w:shd w:val="clear" w:color="auto" w:fill="CCEEFF"/>
          </w:tcPr>
          <w:p>
            <w:pPr>
              <w:spacing w:after="0"/>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Form of Indemnification Agreement between Snail, Inc. and Its Directors and</w:t>
              </w:r>
            </w:hyperlink>
          </w:p>
        </w:tc>
        <w:tc>
          <w:tcPr>
            <w:tcW w:w="180" w:type="dxa"/>
            <w:vAlign w:val="bottom"/>
            <w:tcBorders>
              <w:bottom w:val="single" w:sz="8" w:color="CCEEFF"/>
            </w:tcBorders>
            <w:gridSpan w:val="2"/>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580" w:type="dxa"/>
            <w:vAlign w:val="bottom"/>
            <w:gridSpan w:val="21"/>
            <w:shd w:val="clear" w:color="auto" w:fill="CCEEFF"/>
          </w:tcPr>
          <w:p>
            <w:pPr>
              <w:spacing w:after="0" w:line="168" w:lineRule="exact"/>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Officers</w:t>
              </w:r>
            </w:hyperlink>
          </w:p>
        </w:tc>
        <w:tc>
          <w:tcPr>
            <w:tcW w:w="8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900" w:type="dxa"/>
            <w:vAlign w:val="bottom"/>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10.1</w:t>
            </w:r>
          </w:p>
        </w:tc>
        <w:tc>
          <w:tcPr>
            <w:tcW w:w="18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September 16,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10.8</w:t>
            </w:r>
          </w:p>
        </w:tc>
        <w:tc>
          <w:tcPr>
            <w:tcW w:w="5580" w:type="dxa"/>
            <w:vAlign w:val="bottom"/>
            <w:gridSpan w:val="21"/>
            <w:shd w:val="clear" w:color="auto" w:fill="CCEEFF"/>
          </w:tcPr>
          <w:p>
            <w:pPr>
              <w:spacing w:after="0" w:line="153"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Second Amended and Restated Revolving Loan and Security Agreement, dated as of</w:t>
              </w:r>
            </w:hyperlink>
          </w:p>
        </w:tc>
        <w:tc>
          <w:tcPr>
            <w:tcW w:w="8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5380" w:type="dxa"/>
            <w:vAlign w:val="bottom"/>
            <w:tcBorders>
              <w:top w:val="single" w:sz="8" w:color="0000EE"/>
            </w:tcBorders>
            <w:gridSpan w:val="18"/>
            <w:shd w:val="clear" w:color="auto" w:fill="CCEEFF"/>
          </w:tcPr>
          <w:p>
            <w:pPr>
              <w:spacing w:after="0" w:line="168"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January 26, 2022, by and between Snail Games USA Inc. and Cathay Bank</w:t>
              </w:r>
            </w:hyperlink>
          </w:p>
        </w:tc>
        <w:tc>
          <w:tcPr>
            <w:tcW w:w="200" w:type="dxa"/>
            <w:vAlign w:val="bottom"/>
            <w:tcBorders>
              <w:top w:val="single" w:sz="8" w:color="CCEEFF"/>
            </w:tcBorders>
            <w:gridSpan w:val="3"/>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900" w:type="dxa"/>
            <w:vAlign w:val="bottom"/>
            <w:tcBorders>
              <w:top w:val="single" w:sz="8" w:color="CCEEFF"/>
            </w:tcBorders>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10.2</w:t>
            </w:r>
          </w:p>
        </w:tc>
        <w:tc>
          <w:tcPr>
            <w:tcW w:w="186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September 16,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100" w:type="dxa"/>
            <w:vAlign w:val="bottom"/>
            <w:tcBorders>
              <w:top w:val="single" w:sz="8" w:color="0000EE"/>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10.9</w:t>
            </w:r>
          </w:p>
        </w:tc>
        <w:tc>
          <w:tcPr>
            <w:tcW w:w="5420" w:type="dxa"/>
            <w:vAlign w:val="bottom"/>
            <w:tcBorders>
              <w:bottom w:val="single" w:sz="8" w:color="0000EE"/>
            </w:tcBorders>
            <w:gridSpan w:val="20"/>
            <w:shd w:val="clear" w:color="auto" w:fill="CCEEFF"/>
          </w:tcPr>
          <w:p>
            <w:pPr>
              <w:spacing w:after="0" w:line="153" w:lineRule="exact"/>
              <w:rPr>
                <w:rFonts w:ascii="Times New Roman" w:cs="Times New Roman" w:eastAsia="Times New Roman" w:hAnsi="Times New Roman"/>
                <w:sz w:val="16"/>
                <w:szCs w:val="16"/>
                <w:color w:val="0000EE"/>
                <w:w w:val="98"/>
              </w:rPr>
            </w:pPr>
            <w:hyperlink r:id="rId122">
              <w:r>
                <w:rPr>
                  <w:rFonts w:ascii="Times New Roman" w:cs="Times New Roman" w:eastAsia="Times New Roman" w:hAnsi="Times New Roman"/>
                  <w:sz w:val="16"/>
                  <w:szCs w:val="16"/>
                  <w:color w:val="0000EE"/>
                  <w:w w:val="98"/>
                </w:rPr>
                <w:t>Promissory Note, dated January 26, 2022, by and between Snail Games USA Inc. and</w:t>
              </w:r>
            </w:hyperlink>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580" w:type="dxa"/>
            <w:vAlign w:val="bottom"/>
            <w:gridSpan w:val="21"/>
            <w:shd w:val="clear" w:color="auto" w:fill="CCEEFF"/>
          </w:tcPr>
          <w:p>
            <w:pPr>
              <w:spacing w:after="0" w:line="168" w:lineRule="exact"/>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Cathay Bank</w:t>
              </w:r>
            </w:hyperlink>
          </w:p>
        </w:tc>
        <w:tc>
          <w:tcPr>
            <w:tcW w:w="8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900" w:type="dxa"/>
            <w:vAlign w:val="bottom"/>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10.3</w:t>
            </w:r>
          </w:p>
        </w:tc>
        <w:tc>
          <w:tcPr>
            <w:tcW w:w="18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September 16,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10.10</w:t>
            </w:r>
          </w:p>
        </w:tc>
        <w:tc>
          <w:tcPr>
            <w:tcW w:w="5400" w:type="dxa"/>
            <w:vAlign w:val="bottom"/>
            <w:tcBorders>
              <w:bottom w:val="single" w:sz="8" w:color="0000EE"/>
            </w:tcBorders>
            <w:gridSpan w:val="19"/>
            <w:shd w:val="clear" w:color="auto" w:fill="CCEEFF"/>
          </w:tcPr>
          <w:p>
            <w:pPr>
              <w:spacing w:after="0" w:line="153"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Form of Independent Director Agreement between Snail, Inc. and each of Its</w:t>
              </w:r>
            </w:hyperlink>
          </w:p>
        </w:tc>
        <w:tc>
          <w:tcPr>
            <w:tcW w:w="180" w:type="dxa"/>
            <w:vAlign w:val="bottom"/>
            <w:tcBorders>
              <w:bottom w:val="single" w:sz="8" w:color="CCEEFF"/>
            </w:tcBorders>
            <w:gridSpan w:val="2"/>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580" w:type="dxa"/>
            <w:vAlign w:val="bottom"/>
            <w:gridSpan w:val="21"/>
            <w:shd w:val="clear" w:color="auto" w:fill="CCEEFF"/>
          </w:tcPr>
          <w:p>
            <w:pPr>
              <w:spacing w:after="0" w:line="168"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Independent Directors</w:t>
              </w:r>
            </w:hyperlink>
          </w:p>
        </w:tc>
        <w:tc>
          <w:tcPr>
            <w:tcW w:w="8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S-1/A</w:t>
            </w:r>
          </w:p>
        </w:tc>
        <w:tc>
          <w:tcPr>
            <w:tcW w:w="12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900" w:type="dxa"/>
            <w:vAlign w:val="bottom"/>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10.13</w:t>
            </w:r>
          </w:p>
        </w:tc>
        <w:tc>
          <w:tcPr>
            <w:tcW w:w="18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October 17,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10.11</w:t>
            </w:r>
          </w:p>
        </w:tc>
        <w:tc>
          <w:tcPr>
            <w:tcW w:w="5400" w:type="dxa"/>
            <w:vAlign w:val="bottom"/>
            <w:tcBorders>
              <w:bottom w:val="single" w:sz="8" w:color="0000EE"/>
            </w:tcBorders>
            <w:gridSpan w:val="19"/>
            <w:shd w:val="clear" w:color="auto" w:fill="CCEEFF"/>
          </w:tcPr>
          <w:p>
            <w:pPr>
              <w:spacing w:after="0" w:line="153" w:lineRule="exact"/>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Form of Securities Exchange Agreement by and among Snail, Inc. and each</w:t>
              </w:r>
            </w:hyperlink>
          </w:p>
        </w:tc>
        <w:tc>
          <w:tcPr>
            <w:tcW w:w="180" w:type="dxa"/>
            <w:vAlign w:val="bottom"/>
            <w:tcBorders>
              <w:bottom w:val="single" w:sz="8" w:color="CCEEFF"/>
            </w:tcBorders>
            <w:gridSpan w:val="2"/>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580" w:type="dxa"/>
            <w:vAlign w:val="bottom"/>
            <w:gridSpan w:val="21"/>
            <w:shd w:val="clear" w:color="auto" w:fill="CCEEFF"/>
          </w:tcPr>
          <w:p>
            <w:pPr>
              <w:spacing w:after="0" w:line="168" w:lineRule="exact"/>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Securityholder of Snail Games USA Inc.</w:t>
              </w:r>
            </w:hyperlink>
          </w:p>
        </w:tc>
        <w:tc>
          <w:tcPr>
            <w:tcW w:w="8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S-1/A</w:t>
            </w:r>
          </w:p>
        </w:tc>
        <w:tc>
          <w:tcPr>
            <w:tcW w:w="12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900" w:type="dxa"/>
            <w:vAlign w:val="bottom"/>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10.14</w:t>
            </w:r>
          </w:p>
        </w:tc>
        <w:tc>
          <w:tcPr>
            <w:tcW w:w="18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October 17,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10.12</w:t>
            </w:r>
          </w:p>
        </w:tc>
        <w:tc>
          <w:tcPr>
            <w:tcW w:w="5580" w:type="dxa"/>
            <w:vAlign w:val="bottom"/>
            <w:gridSpan w:val="21"/>
            <w:shd w:val="clear" w:color="auto" w:fill="CCEEFF"/>
          </w:tcPr>
          <w:p>
            <w:pPr>
              <w:spacing w:after="0" w:line="153" w:lineRule="exact"/>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Loan Agreement, dated as of June 17, 2021, by and between Snail Games USA Inc.</w:t>
              </w:r>
            </w:hyperlink>
          </w:p>
        </w:tc>
        <w:tc>
          <w:tcPr>
            <w:tcW w:w="8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5380" w:type="dxa"/>
            <w:vAlign w:val="bottom"/>
            <w:tcBorders>
              <w:top w:val="single" w:sz="8" w:color="0000EE"/>
            </w:tcBorders>
            <w:gridSpan w:val="18"/>
            <w:shd w:val="clear" w:color="auto" w:fill="CCEEFF"/>
          </w:tcPr>
          <w:p>
            <w:pPr>
              <w:spacing w:after="0" w:line="168" w:lineRule="exact"/>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and Cathay Bank</w:t>
              </w:r>
            </w:hyperlink>
          </w:p>
        </w:tc>
        <w:tc>
          <w:tcPr>
            <w:tcW w:w="200" w:type="dxa"/>
            <w:vAlign w:val="bottom"/>
            <w:tcBorders>
              <w:top w:val="single" w:sz="8" w:color="CCEEFF"/>
            </w:tcBorders>
            <w:gridSpan w:val="3"/>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900" w:type="dxa"/>
            <w:vAlign w:val="bottom"/>
            <w:tcBorders>
              <w:top w:val="single" w:sz="8" w:color="CCEEFF"/>
            </w:tcBorders>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10.4</w:t>
            </w:r>
          </w:p>
        </w:tc>
        <w:tc>
          <w:tcPr>
            <w:tcW w:w="186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September 16,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10.13†</w:t>
            </w:r>
          </w:p>
        </w:tc>
        <w:tc>
          <w:tcPr>
            <w:tcW w:w="5580" w:type="dxa"/>
            <w:vAlign w:val="bottom"/>
            <w:gridSpan w:val="21"/>
            <w:shd w:val="clear" w:color="auto" w:fill="CCEEFF"/>
          </w:tcPr>
          <w:p>
            <w:pPr>
              <w:spacing w:after="0" w:line="153"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Offer Letter, dated as of August 31, 2020, between Jim S. Tsai and Snail Games USA</w:t>
              </w:r>
            </w:hyperlink>
          </w:p>
        </w:tc>
        <w:tc>
          <w:tcPr>
            <w:tcW w:w="8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5380" w:type="dxa"/>
            <w:vAlign w:val="bottom"/>
            <w:tcBorders>
              <w:top w:val="single" w:sz="8" w:color="0000EE"/>
            </w:tcBorders>
            <w:gridSpan w:val="18"/>
            <w:shd w:val="clear" w:color="auto" w:fill="CCEEFF"/>
          </w:tcPr>
          <w:p>
            <w:pPr>
              <w:spacing w:after="0" w:line="168"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Inc.</w:t>
              </w:r>
            </w:hyperlink>
          </w:p>
        </w:tc>
        <w:tc>
          <w:tcPr>
            <w:tcW w:w="200" w:type="dxa"/>
            <w:vAlign w:val="bottom"/>
            <w:tcBorders>
              <w:top w:val="single" w:sz="8" w:color="CCEEFF"/>
            </w:tcBorders>
            <w:gridSpan w:val="3"/>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900" w:type="dxa"/>
            <w:vAlign w:val="bottom"/>
            <w:tcBorders>
              <w:top w:val="single" w:sz="8" w:color="CCEEFF"/>
            </w:tcBorders>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10.6</w:t>
            </w:r>
          </w:p>
        </w:tc>
        <w:tc>
          <w:tcPr>
            <w:tcW w:w="186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September 16,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10.14†</w:t>
            </w:r>
          </w:p>
        </w:tc>
        <w:tc>
          <w:tcPr>
            <w:tcW w:w="5400" w:type="dxa"/>
            <w:vAlign w:val="bottom"/>
            <w:tcBorders>
              <w:bottom w:val="single" w:sz="8" w:color="0000EE"/>
            </w:tcBorders>
            <w:gridSpan w:val="19"/>
            <w:shd w:val="clear" w:color="auto" w:fill="CCEEFF"/>
          </w:tcPr>
          <w:p>
            <w:pPr>
              <w:spacing w:after="0" w:line="153" w:lineRule="exact"/>
              <w:rPr>
                <w:rFonts w:ascii="Times New Roman" w:cs="Times New Roman" w:eastAsia="Times New Roman" w:hAnsi="Times New Roman"/>
                <w:sz w:val="16"/>
                <w:szCs w:val="16"/>
                <w:color w:val="0000EE"/>
              </w:rPr>
            </w:pPr>
            <w:hyperlink r:id="rId127">
              <w:r>
                <w:rPr>
                  <w:rFonts w:ascii="Times New Roman" w:cs="Times New Roman" w:eastAsia="Times New Roman" w:hAnsi="Times New Roman"/>
                  <w:sz w:val="16"/>
                  <w:szCs w:val="16"/>
                  <w:color w:val="0000EE"/>
                </w:rPr>
                <w:t>Amendment, effective as of November 1, 2021, to Offer Letter between Jim S. Tsai</w:t>
              </w:r>
            </w:hyperlink>
          </w:p>
        </w:tc>
        <w:tc>
          <w:tcPr>
            <w:tcW w:w="180" w:type="dxa"/>
            <w:vAlign w:val="bottom"/>
            <w:tcBorders>
              <w:bottom w:val="single" w:sz="8" w:color="CCEEFF"/>
            </w:tcBorders>
            <w:gridSpan w:val="2"/>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580" w:type="dxa"/>
            <w:vAlign w:val="bottom"/>
            <w:gridSpan w:val="21"/>
            <w:shd w:val="clear" w:color="auto" w:fill="CCEEFF"/>
          </w:tcPr>
          <w:p>
            <w:pPr>
              <w:spacing w:after="0" w:line="168" w:lineRule="exact"/>
              <w:rPr>
                <w:rFonts w:ascii="Times New Roman" w:cs="Times New Roman" w:eastAsia="Times New Roman" w:hAnsi="Times New Roman"/>
                <w:sz w:val="16"/>
                <w:szCs w:val="16"/>
                <w:color w:val="0000EE"/>
              </w:rPr>
            </w:pPr>
            <w:hyperlink r:id="rId127">
              <w:r>
                <w:rPr>
                  <w:rFonts w:ascii="Times New Roman" w:cs="Times New Roman" w:eastAsia="Times New Roman" w:hAnsi="Times New Roman"/>
                  <w:sz w:val="16"/>
                  <w:szCs w:val="16"/>
                  <w:color w:val="0000EE"/>
                </w:rPr>
                <w:t>and Snail Games USA Inc.</w:t>
              </w:r>
            </w:hyperlink>
          </w:p>
        </w:tc>
        <w:tc>
          <w:tcPr>
            <w:tcW w:w="8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900" w:type="dxa"/>
            <w:vAlign w:val="bottom"/>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10.7</w:t>
            </w:r>
          </w:p>
        </w:tc>
        <w:tc>
          <w:tcPr>
            <w:tcW w:w="18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September 16,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10.15†</w:t>
            </w:r>
          </w:p>
        </w:tc>
        <w:tc>
          <w:tcPr>
            <w:tcW w:w="5580" w:type="dxa"/>
            <w:vAlign w:val="bottom"/>
            <w:gridSpan w:val="21"/>
            <w:shd w:val="clear" w:color="auto" w:fill="CCEEFF"/>
          </w:tcPr>
          <w:p>
            <w:pPr>
              <w:spacing w:after="0" w:line="153"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Offer Letter, dated as of August 28, 2020, between Heidy Chow and Snail Games</w:t>
              </w:r>
            </w:hyperlink>
          </w:p>
        </w:tc>
        <w:tc>
          <w:tcPr>
            <w:tcW w:w="8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5380" w:type="dxa"/>
            <w:vAlign w:val="bottom"/>
            <w:tcBorders>
              <w:top w:val="single" w:sz="8" w:color="0000EE"/>
            </w:tcBorders>
            <w:gridSpan w:val="18"/>
            <w:shd w:val="clear" w:color="auto" w:fill="CCEEFF"/>
          </w:tcPr>
          <w:p>
            <w:pPr>
              <w:spacing w:after="0" w:line="168"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USA Inc.</w:t>
              </w:r>
            </w:hyperlink>
          </w:p>
        </w:tc>
        <w:tc>
          <w:tcPr>
            <w:tcW w:w="200" w:type="dxa"/>
            <w:vAlign w:val="bottom"/>
            <w:tcBorders>
              <w:top w:val="single" w:sz="8" w:color="CCEEFF"/>
            </w:tcBorders>
            <w:gridSpan w:val="3"/>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900" w:type="dxa"/>
            <w:vAlign w:val="bottom"/>
            <w:tcBorders>
              <w:top w:val="single" w:sz="8" w:color="CCEEFF"/>
            </w:tcBorders>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10.8</w:t>
            </w:r>
          </w:p>
        </w:tc>
        <w:tc>
          <w:tcPr>
            <w:tcW w:w="186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September 16,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10.16†</w:t>
            </w:r>
          </w:p>
        </w:tc>
        <w:tc>
          <w:tcPr>
            <w:tcW w:w="5400" w:type="dxa"/>
            <w:vAlign w:val="bottom"/>
            <w:tcBorders>
              <w:bottom w:val="single" w:sz="8" w:color="0000EE"/>
            </w:tcBorders>
            <w:gridSpan w:val="19"/>
            <w:shd w:val="clear" w:color="auto" w:fill="CCEEFF"/>
          </w:tcPr>
          <w:p>
            <w:pPr>
              <w:spacing w:after="0" w:line="153"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Employment Agreement, dated as of December 10, 2012, between Peter Kang and</w:t>
              </w:r>
            </w:hyperlink>
          </w:p>
        </w:tc>
        <w:tc>
          <w:tcPr>
            <w:tcW w:w="180" w:type="dxa"/>
            <w:vAlign w:val="bottom"/>
            <w:tcBorders>
              <w:bottom w:val="single" w:sz="8" w:color="CCEEFF"/>
            </w:tcBorders>
            <w:gridSpan w:val="2"/>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580" w:type="dxa"/>
            <w:vAlign w:val="bottom"/>
            <w:gridSpan w:val="21"/>
            <w:shd w:val="clear" w:color="auto" w:fill="CCEEFF"/>
          </w:tcPr>
          <w:p>
            <w:pPr>
              <w:spacing w:after="0" w:line="168"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Snail Games USA Inc.</w:t>
              </w:r>
            </w:hyperlink>
          </w:p>
        </w:tc>
        <w:tc>
          <w:tcPr>
            <w:tcW w:w="8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900" w:type="dxa"/>
            <w:vAlign w:val="bottom"/>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10.9</w:t>
            </w:r>
          </w:p>
        </w:tc>
        <w:tc>
          <w:tcPr>
            <w:tcW w:w="18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September 16,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10.17†</w:t>
            </w:r>
          </w:p>
        </w:tc>
        <w:tc>
          <w:tcPr>
            <w:tcW w:w="5400" w:type="dxa"/>
            <w:vAlign w:val="bottom"/>
            <w:tcBorders>
              <w:bottom w:val="single" w:sz="8" w:color="0000EE"/>
            </w:tcBorders>
            <w:gridSpan w:val="19"/>
            <w:shd w:val="clear" w:color="auto" w:fill="CCEEFF"/>
          </w:tcPr>
          <w:p>
            <w:pPr>
              <w:spacing w:after="0" w:line="153" w:lineRule="exact"/>
              <w:rPr>
                <w:rFonts w:ascii="Times New Roman" w:cs="Times New Roman" w:eastAsia="Times New Roman" w:hAnsi="Times New Roman"/>
                <w:sz w:val="16"/>
                <w:szCs w:val="16"/>
                <w:color w:val="0000EE"/>
                <w:w w:val="99"/>
              </w:rPr>
            </w:pPr>
            <w:hyperlink r:id="rId130">
              <w:r>
                <w:rPr>
                  <w:rFonts w:ascii="Times New Roman" w:cs="Times New Roman" w:eastAsia="Times New Roman" w:hAnsi="Times New Roman"/>
                  <w:sz w:val="16"/>
                  <w:szCs w:val="16"/>
                  <w:color w:val="0000EE"/>
                  <w:w w:val="99"/>
                </w:rPr>
                <w:t>Amendment, effective as of December 1, 2021, to Employment Agreement between</w:t>
              </w:r>
            </w:hyperlink>
          </w:p>
        </w:tc>
        <w:tc>
          <w:tcPr>
            <w:tcW w:w="180" w:type="dxa"/>
            <w:vAlign w:val="bottom"/>
            <w:tcBorders>
              <w:bottom w:val="single" w:sz="8" w:color="CCEEFF"/>
            </w:tcBorders>
            <w:gridSpan w:val="2"/>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580" w:type="dxa"/>
            <w:vAlign w:val="bottom"/>
            <w:gridSpan w:val="21"/>
            <w:shd w:val="clear" w:color="auto" w:fill="CCEEFF"/>
          </w:tcPr>
          <w:p>
            <w:pPr>
              <w:spacing w:after="0" w:line="168" w:lineRule="exact"/>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Peter Kang and Snail Games USA Inc.</w:t>
              </w:r>
            </w:hyperlink>
          </w:p>
        </w:tc>
        <w:tc>
          <w:tcPr>
            <w:tcW w:w="8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333-267483</w:t>
            </w:r>
          </w:p>
        </w:tc>
        <w:tc>
          <w:tcPr>
            <w:tcW w:w="900" w:type="dxa"/>
            <w:vAlign w:val="bottom"/>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10.10</w:t>
            </w:r>
          </w:p>
        </w:tc>
        <w:tc>
          <w:tcPr>
            <w:tcW w:w="18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September 16, 2022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10.18†</w:t>
            </w:r>
          </w:p>
        </w:tc>
        <w:tc>
          <w:tcPr>
            <w:tcW w:w="5580" w:type="dxa"/>
            <w:vAlign w:val="bottom"/>
            <w:gridSpan w:val="21"/>
            <w:shd w:val="clear" w:color="auto" w:fill="CCEEFF"/>
          </w:tcPr>
          <w:p>
            <w:pPr>
              <w:spacing w:after="0" w:line="153"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Offer Letter, dated as of March 27, 2023, between Hai Shi and Snail Games USA Inc.</w:t>
              </w:r>
            </w:hyperlink>
          </w:p>
        </w:tc>
        <w:tc>
          <w:tcPr>
            <w:tcW w:w="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7"/>
              </w:rPr>
              <w:t>10-K</w:t>
            </w:r>
          </w:p>
        </w:tc>
        <w:tc>
          <w:tcPr>
            <w:tcW w:w="12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001-41556</w:t>
            </w:r>
          </w:p>
        </w:tc>
        <w:tc>
          <w:tcPr>
            <w:tcW w:w="900" w:type="dxa"/>
            <w:vAlign w:val="bottom"/>
            <w:shd w:val="clear" w:color="auto" w:fill="CCEEFF"/>
          </w:tcPr>
          <w:p>
            <w:pPr>
              <w:jc w:val="center"/>
              <w:ind w:right="22"/>
              <w:spacing w:after="0" w:line="153" w:lineRule="exact"/>
              <w:rPr>
                <w:sz w:val="20"/>
                <w:szCs w:val="20"/>
                <w:color w:val="auto"/>
              </w:rPr>
            </w:pPr>
            <w:r>
              <w:rPr>
                <w:rFonts w:ascii="Times New Roman" w:cs="Times New Roman" w:eastAsia="Times New Roman" w:hAnsi="Times New Roman"/>
                <w:sz w:val="16"/>
                <w:szCs w:val="16"/>
                <w:color w:val="auto"/>
                <w:w w:val="99"/>
              </w:rPr>
              <w:t>10.18</w:t>
            </w:r>
          </w:p>
        </w:tc>
        <w:tc>
          <w:tcPr>
            <w:tcW w:w="18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March 29,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10.19</w:t>
            </w:r>
          </w:p>
        </w:tc>
        <w:tc>
          <w:tcPr>
            <w:tcW w:w="5580" w:type="dxa"/>
            <w:vAlign w:val="bottom"/>
            <w:gridSpan w:val="21"/>
            <w:shd w:val="clear" w:color="auto" w:fill="CCEEFF"/>
          </w:tcPr>
          <w:p>
            <w:pPr>
              <w:spacing w:after="0" w:line="153"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First Amendment to Amended and Restated Exclusive Software License Agreement,</w:t>
              </w:r>
            </w:hyperlink>
          </w:p>
        </w:tc>
        <w:tc>
          <w:tcPr>
            <w:tcW w:w="8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5380" w:type="dxa"/>
            <w:vAlign w:val="bottom"/>
            <w:tcBorders>
              <w:top w:val="single" w:sz="8" w:color="0000EE"/>
            </w:tcBorders>
            <w:gridSpan w:val="18"/>
            <w:shd w:val="clear" w:color="auto" w:fill="CCEEFF"/>
          </w:tcPr>
          <w:p>
            <w:pPr>
              <w:spacing w:after="0" w:line="168"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effective as of March 10, 2023, between SDE Inc. and Snail Games USA Inc.</w:t>
              </w:r>
            </w:hyperlink>
          </w:p>
        </w:tc>
        <w:tc>
          <w:tcPr>
            <w:tcW w:w="200" w:type="dxa"/>
            <w:vAlign w:val="bottom"/>
            <w:tcBorders>
              <w:top w:val="single" w:sz="8" w:color="CCEEFF"/>
            </w:tcBorders>
            <w:gridSpan w:val="3"/>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7"/>
              </w:rPr>
              <w:t>10-K</w:t>
            </w:r>
          </w:p>
        </w:tc>
        <w:tc>
          <w:tcPr>
            <w:tcW w:w="120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001-41556</w:t>
            </w:r>
          </w:p>
        </w:tc>
        <w:tc>
          <w:tcPr>
            <w:tcW w:w="900" w:type="dxa"/>
            <w:vAlign w:val="bottom"/>
            <w:tcBorders>
              <w:top w:val="single" w:sz="8" w:color="CCEEFF"/>
            </w:tcBorders>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10.19</w:t>
            </w:r>
          </w:p>
        </w:tc>
        <w:tc>
          <w:tcPr>
            <w:tcW w:w="186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March 29,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10.20</w:t>
            </w:r>
          </w:p>
        </w:tc>
        <w:tc>
          <w:tcPr>
            <w:tcW w:w="5400" w:type="dxa"/>
            <w:vAlign w:val="bottom"/>
            <w:tcBorders>
              <w:bottom w:val="single" w:sz="8" w:color="0000EE"/>
            </w:tcBorders>
            <w:gridSpan w:val="19"/>
            <w:shd w:val="clear" w:color="auto" w:fill="CCEEFF"/>
          </w:tcPr>
          <w:p>
            <w:pPr>
              <w:spacing w:after="0" w:line="153"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Cooperation Agreement between Snail Games USA Inc. and Marbis GmbH, dated</w:t>
              </w:r>
            </w:hyperlink>
          </w:p>
        </w:tc>
        <w:tc>
          <w:tcPr>
            <w:tcW w:w="180" w:type="dxa"/>
            <w:vAlign w:val="bottom"/>
            <w:tcBorders>
              <w:bottom w:val="single" w:sz="8" w:color="CCEEFF"/>
            </w:tcBorders>
            <w:gridSpan w:val="2"/>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580" w:type="dxa"/>
            <w:vAlign w:val="bottom"/>
            <w:gridSpan w:val="21"/>
            <w:shd w:val="clear" w:color="auto" w:fill="CCEEFF"/>
          </w:tcPr>
          <w:p>
            <w:pPr>
              <w:spacing w:after="0" w:line="168"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July 26, 2023</w:t>
              </w:r>
            </w:hyperlink>
          </w:p>
        </w:tc>
        <w:tc>
          <w:tcPr>
            <w:tcW w:w="8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001-41556</w:t>
            </w:r>
          </w:p>
        </w:tc>
        <w:tc>
          <w:tcPr>
            <w:tcW w:w="900" w:type="dxa"/>
            <w:vAlign w:val="bottom"/>
            <w:shd w:val="clear" w:color="auto" w:fill="CCEEFF"/>
          </w:tcPr>
          <w:p>
            <w:pPr>
              <w:jc w:val="center"/>
              <w:ind w:right="22"/>
              <w:spacing w:after="0" w:line="168" w:lineRule="exact"/>
              <w:rPr>
                <w:sz w:val="20"/>
                <w:szCs w:val="20"/>
                <w:color w:val="auto"/>
              </w:rPr>
            </w:pPr>
            <w:r>
              <w:rPr>
                <w:rFonts w:ascii="Times New Roman" w:cs="Times New Roman" w:eastAsia="Times New Roman" w:hAnsi="Times New Roman"/>
                <w:sz w:val="16"/>
                <w:szCs w:val="16"/>
                <w:color w:val="auto"/>
                <w:w w:val="99"/>
              </w:rPr>
              <w:t>10.1</w:t>
            </w:r>
          </w:p>
        </w:tc>
        <w:tc>
          <w:tcPr>
            <w:tcW w:w="18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7"/>
              </w:rPr>
              <w:t>August 1,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10.21</w:t>
            </w:r>
          </w:p>
        </w:tc>
        <w:tc>
          <w:tcPr>
            <w:tcW w:w="5580" w:type="dxa"/>
            <w:vAlign w:val="bottom"/>
            <w:gridSpan w:val="21"/>
            <w:shd w:val="clear" w:color="auto" w:fill="CCEEFF"/>
          </w:tcPr>
          <w:p>
            <w:pPr>
              <w:spacing w:after="0" w:line="153" w:lineRule="exact"/>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Form of Purchase Agreement</w:t>
              </w:r>
            </w:hyperlink>
          </w:p>
        </w:tc>
        <w:tc>
          <w:tcPr>
            <w:tcW w:w="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001-41556</w:t>
            </w:r>
          </w:p>
        </w:tc>
        <w:tc>
          <w:tcPr>
            <w:tcW w:w="900" w:type="dxa"/>
            <w:vAlign w:val="bottom"/>
            <w:shd w:val="clear" w:color="auto" w:fill="CCEEFF"/>
          </w:tcPr>
          <w:p>
            <w:pPr>
              <w:jc w:val="center"/>
              <w:ind w:right="22"/>
              <w:spacing w:after="0" w:line="153" w:lineRule="exact"/>
              <w:rPr>
                <w:sz w:val="20"/>
                <w:szCs w:val="20"/>
                <w:color w:val="auto"/>
              </w:rPr>
            </w:pPr>
            <w:r>
              <w:rPr>
                <w:rFonts w:ascii="Times New Roman" w:cs="Times New Roman" w:eastAsia="Times New Roman" w:hAnsi="Times New Roman"/>
                <w:sz w:val="16"/>
                <w:szCs w:val="16"/>
                <w:color w:val="auto"/>
                <w:w w:val="99"/>
              </w:rPr>
              <w:t>10.1</w:t>
            </w:r>
          </w:p>
        </w:tc>
        <w:tc>
          <w:tcPr>
            <w:tcW w:w="18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7"/>
              </w:rPr>
              <w:t>August 30,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10.22</w:t>
            </w:r>
          </w:p>
        </w:tc>
        <w:tc>
          <w:tcPr>
            <w:tcW w:w="5580" w:type="dxa"/>
            <w:vAlign w:val="bottom"/>
            <w:gridSpan w:val="21"/>
            <w:shd w:val="clear" w:color="auto" w:fill="CCEEFF"/>
          </w:tcPr>
          <w:p>
            <w:pPr>
              <w:spacing w:after="0" w:line="153" w:lineRule="exact"/>
              <w:rPr>
                <w:rFonts w:ascii="Times New Roman" w:cs="Times New Roman" w:eastAsia="Times New Roman" w:hAnsi="Times New Roman"/>
                <w:sz w:val="16"/>
                <w:szCs w:val="16"/>
                <w:color w:val="0000EE"/>
              </w:rPr>
            </w:pPr>
            <w:hyperlink r:id="rId135">
              <w:r>
                <w:rPr>
                  <w:rFonts w:ascii="Times New Roman" w:cs="Times New Roman" w:eastAsia="Times New Roman" w:hAnsi="Times New Roman"/>
                  <w:sz w:val="16"/>
                  <w:szCs w:val="16"/>
                  <w:color w:val="0000EE"/>
                </w:rPr>
                <w:t>Form of Registration Rights Agreement</w:t>
              </w:r>
            </w:hyperlink>
          </w:p>
        </w:tc>
        <w:tc>
          <w:tcPr>
            <w:tcW w:w="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001-41556</w:t>
            </w:r>
          </w:p>
        </w:tc>
        <w:tc>
          <w:tcPr>
            <w:tcW w:w="900" w:type="dxa"/>
            <w:vAlign w:val="bottom"/>
            <w:shd w:val="clear" w:color="auto" w:fill="CCEEFF"/>
          </w:tcPr>
          <w:p>
            <w:pPr>
              <w:jc w:val="center"/>
              <w:ind w:right="22"/>
              <w:spacing w:after="0" w:line="153" w:lineRule="exact"/>
              <w:rPr>
                <w:sz w:val="20"/>
                <w:szCs w:val="20"/>
                <w:color w:val="auto"/>
              </w:rPr>
            </w:pPr>
            <w:r>
              <w:rPr>
                <w:rFonts w:ascii="Times New Roman" w:cs="Times New Roman" w:eastAsia="Times New Roman" w:hAnsi="Times New Roman"/>
                <w:sz w:val="16"/>
                <w:szCs w:val="16"/>
                <w:color w:val="auto"/>
                <w:w w:val="99"/>
              </w:rPr>
              <w:t>10.2</w:t>
            </w:r>
          </w:p>
        </w:tc>
        <w:tc>
          <w:tcPr>
            <w:tcW w:w="18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7"/>
              </w:rPr>
              <w:t>August 30,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10.23</w:t>
            </w:r>
          </w:p>
        </w:tc>
        <w:tc>
          <w:tcPr>
            <w:tcW w:w="5580" w:type="dxa"/>
            <w:vAlign w:val="bottom"/>
            <w:gridSpan w:val="21"/>
            <w:shd w:val="clear" w:color="auto" w:fill="CCEEFF"/>
          </w:tcPr>
          <w:p>
            <w:pPr>
              <w:spacing w:after="0" w:line="153" w:lineRule="exact"/>
              <w:rPr>
                <w:rFonts w:ascii="Times New Roman" w:cs="Times New Roman" w:eastAsia="Times New Roman" w:hAnsi="Times New Roman"/>
                <w:sz w:val="16"/>
                <w:szCs w:val="16"/>
                <w:color w:val="0000EE"/>
              </w:rPr>
            </w:pPr>
            <w:hyperlink r:id="rId136">
              <w:r>
                <w:rPr>
                  <w:rFonts w:ascii="Times New Roman" w:cs="Times New Roman" w:eastAsia="Times New Roman" w:hAnsi="Times New Roman"/>
                  <w:sz w:val="16"/>
                  <w:szCs w:val="16"/>
                  <w:color w:val="0000EE"/>
                </w:rPr>
                <w:t>Form of Equity Line Purchase Agreement</w:t>
              </w:r>
            </w:hyperlink>
          </w:p>
        </w:tc>
        <w:tc>
          <w:tcPr>
            <w:tcW w:w="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001-41556</w:t>
            </w:r>
          </w:p>
        </w:tc>
        <w:tc>
          <w:tcPr>
            <w:tcW w:w="900" w:type="dxa"/>
            <w:vAlign w:val="bottom"/>
            <w:shd w:val="clear" w:color="auto" w:fill="CCEEFF"/>
          </w:tcPr>
          <w:p>
            <w:pPr>
              <w:jc w:val="center"/>
              <w:ind w:right="22"/>
              <w:spacing w:after="0" w:line="153" w:lineRule="exact"/>
              <w:rPr>
                <w:sz w:val="20"/>
                <w:szCs w:val="20"/>
                <w:color w:val="auto"/>
              </w:rPr>
            </w:pPr>
            <w:r>
              <w:rPr>
                <w:rFonts w:ascii="Times New Roman" w:cs="Times New Roman" w:eastAsia="Times New Roman" w:hAnsi="Times New Roman"/>
                <w:sz w:val="16"/>
                <w:szCs w:val="16"/>
                <w:color w:val="auto"/>
                <w:w w:val="99"/>
              </w:rPr>
              <w:t>10.3</w:t>
            </w:r>
          </w:p>
        </w:tc>
        <w:tc>
          <w:tcPr>
            <w:tcW w:w="18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7"/>
              </w:rPr>
              <w:t>August 30,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10.24</w:t>
            </w:r>
          </w:p>
        </w:tc>
        <w:tc>
          <w:tcPr>
            <w:tcW w:w="5580" w:type="dxa"/>
            <w:vAlign w:val="bottom"/>
            <w:gridSpan w:val="21"/>
            <w:shd w:val="clear" w:color="auto" w:fill="CCEEFF"/>
          </w:tcPr>
          <w:p>
            <w:pPr>
              <w:spacing w:after="0" w:line="153" w:lineRule="exact"/>
              <w:rPr>
                <w:rFonts w:ascii="Times New Roman" w:cs="Times New Roman" w:eastAsia="Times New Roman" w:hAnsi="Times New Roman"/>
                <w:sz w:val="16"/>
                <w:szCs w:val="16"/>
                <w:color w:val="0000EE"/>
              </w:rPr>
            </w:pPr>
            <w:hyperlink r:id="rId137">
              <w:r>
                <w:rPr>
                  <w:rFonts w:ascii="Times New Roman" w:cs="Times New Roman" w:eastAsia="Times New Roman" w:hAnsi="Times New Roman"/>
                  <w:sz w:val="16"/>
                  <w:szCs w:val="16"/>
                  <w:color w:val="0000EE"/>
                </w:rPr>
                <w:t>Independent Director Agreement</w:t>
              </w:r>
            </w:hyperlink>
          </w:p>
        </w:tc>
        <w:tc>
          <w:tcPr>
            <w:tcW w:w="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001-41556</w:t>
            </w:r>
          </w:p>
        </w:tc>
        <w:tc>
          <w:tcPr>
            <w:tcW w:w="900" w:type="dxa"/>
            <w:vAlign w:val="bottom"/>
            <w:shd w:val="clear" w:color="auto" w:fill="CCEEFF"/>
          </w:tcPr>
          <w:p>
            <w:pPr>
              <w:jc w:val="center"/>
              <w:ind w:right="22"/>
              <w:spacing w:after="0" w:line="153" w:lineRule="exact"/>
              <w:rPr>
                <w:sz w:val="20"/>
                <w:szCs w:val="20"/>
                <w:color w:val="auto"/>
              </w:rPr>
            </w:pPr>
            <w:r>
              <w:rPr>
                <w:rFonts w:ascii="Times New Roman" w:cs="Times New Roman" w:eastAsia="Times New Roman" w:hAnsi="Times New Roman"/>
                <w:sz w:val="16"/>
                <w:szCs w:val="16"/>
                <w:color w:val="auto"/>
                <w:w w:val="99"/>
              </w:rPr>
              <w:t>10.1</w:t>
            </w:r>
          </w:p>
        </w:tc>
        <w:tc>
          <w:tcPr>
            <w:tcW w:w="18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7"/>
              </w:rPr>
              <w:t>November 16,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90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21.1</w:t>
            </w:r>
          </w:p>
        </w:tc>
        <w:tc>
          <w:tcPr>
            <w:tcW w:w="1840" w:type="dxa"/>
            <w:vAlign w:val="bottom"/>
            <w:tcBorders>
              <w:bottom w:val="single" w:sz="8" w:color="0000EE"/>
            </w:tcBorders>
            <w:gridSpan w:val="10"/>
            <w:shd w:val="clear" w:color="auto" w:fill="CCEEFF"/>
          </w:tcPr>
          <w:p>
            <w:pPr>
              <w:spacing w:after="0" w:line="153" w:lineRule="exact"/>
              <w:rPr>
                <w:rFonts w:ascii="Times New Roman" w:cs="Times New Roman" w:eastAsia="Times New Roman" w:hAnsi="Times New Roman"/>
                <w:sz w:val="16"/>
                <w:szCs w:val="16"/>
                <w:color w:val="0000EE"/>
                <w:w w:val="96"/>
              </w:rPr>
            </w:pPr>
            <w:hyperlink r:id="rId138">
              <w:r>
                <w:rPr>
                  <w:rFonts w:ascii="Times New Roman" w:cs="Times New Roman" w:eastAsia="Times New Roman" w:hAnsi="Times New Roman"/>
                  <w:sz w:val="16"/>
                  <w:szCs w:val="16"/>
                  <w:color w:val="0000EE"/>
                  <w:w w:val="96"/>
                </w:rPr>
                <w:t>Subsidiaries of the Registrant</w:t>
              </w:r>
            </w:hyperlink>
          </w:p>
        </w:tc>
        <w:tc>
          <w:tcPr>
            <w:tcW w:w="3740" w:type="dxa"/>
            <w:vAlign w:val="bottom"/>
            <w:tcBorders>
              <w:bottom w:val="single" w:sz="8" w:color="CCEEFF"/>
            </w:tcBorders>
            <w:gridSpan w:val="11"/>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S-1/A</w:t>
            </w:r>
          </w:p>
        </w:tc>
        <w:tc>
          <w:tcPr>
            <w:tcW w:w="1200" w:type="dxa"/>
            <w:vAlign w:val="bottom"/>
            <w:tcBorders>
              <w:bottom w:val="single" w:sz="8" w:color="CCEEFF"/>
            </w:tcBorders>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333-267483</w:t>
            </w:r>
          </w:p>
        </w:tc>
        <w:tc>
          <w:tcPr>
            <w:tcW w:w="900" w:type="dxa"/>
            <w:vAlign w:val="bottom"/>
            <w:tcBorders>
              <w:bottom w:val="single" w:sz="8" w:color="CCEEFF"/>
            </w:tcBorders>
            <w:shd w:val="clear" w:color="auto" w:fill="CCEEFF"/>
          </w:tcPr>
          <w:p>
            <w:pPr>
              <w:jc w:val="center"/>
              <w:ind w:right="22"/>
              <w:spacing w:after="0" w:line="153" w:lineRule="exact"/>
              <w:rPr>
                <w:sz w:val="20"/>
                <w:szCs w:val="20"/>
                <w:color w:val="auto"/>
              </w:rPr>
            </w:pPr>
            <w:r>
              <w:rPr>
                <w:rFonts w:ascii="Times New Roman" w:cs="Times New Roman" w:eastAsia="Times New Roman" w:hAnsi="Times New Roman"/>
                <w:sz w:val="16"/>
                <w:szCs w:val="16"/>
                <w:color w:val="auto"/>
                <w:w w:val="99"/>
              </w:rPr>
              <w:t>21.1</w:t>
            </w:r>
          </w:p>
        </w:tc>
        <w:tc>
          <w:tcPr>
            <w:tcW w:w="1860" w:type="dxa"/>
            <w:vAlign w:val="bottom"/>
            <w:tcBorders>
              <w:bottom w:val="single" w:sz="8" w:color="CCEEFF"/>
            </w:tcBorders>
            <w:shd w:val="clear" w:color="auto" w:fill="CCEEFF"/>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October 17, 2022</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17"/>
          </w:tcPr>
          <w:p>
            <w:pPr>
              <w:ind w:left="4620"/>
              <w:spacing w:after="0"/>
              <w:rPr>
                <w:sz w:val="20"/>
                <w:szCs w:val="20"/>
                <w:color w:val="auto"/>
              </w:rPr>
            </w:pPr>
            <w:r>
              <w:rPr>
                <w:rFonts w:ascii="Times New Roman" w:cs="Times New Roman" w:eastAsia="Times New Roman" w:hAnsi="Times New Roman"/>
                <w:sz w:val="16"/>
                <w:szCs w:val="16"/>
                <w:color w:val="auto"/>
              </w:rPr>
              <w:t>59</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84" w:right="319" w:bottom="1440" w:gutter="0" w:footer="0" w:header="0"/>
        </w:sectPr>
      </w:pPr>
    </w:p>
    <w:bookmarkStart w:id="97" w:name="page98"/>
    <w:bookmarkEnd w:id="97"/>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23.1*</w:t>
            </w:r>
          </w:p>
        </w:tc>
        <w:tc>
          <w:tcPr>
            <w:tcW w:w="103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0000EE"/>
              </w:rPr>
              <w:t>Consent of BDO USA, P.C., Independent Registered Public Accounting Firm</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0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31.1*</w:t>
            </w:r>
          </w:p>
        </w:tc>
        <w:tc>
          <w:tcPr>
            <w:tcW w:w="5400" w:type="dxa"/>
            <w:vAlign w:val="bottom"/>
            <w:tcBorders>
              <w:bottom w:val="single" w:sz="8" w:color="0000EE"/>
            </w:tcBorders>
            <w:gridSpan w:val="7"/>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Certification of Principal Executive Officer Pursuant to Rules 13a-14(a) and 15d-</w:t>
            </w:r>
          </w:p>
        </w:tc>
        <w:tc>
          <w:tcPr>
            <w:tcW w:w="4940" w:type="dxa"/>
            <w:vAlign w:val="bottom"/>
            <w:tcBorders>
              <w:bottom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460" w:type="dxa"/>
            <w:vAlign w:val="bottom"/>
            <w:tcBorders>
              <w:bottom w:val="single" w:sz="8" w:color="0000EE"/>
            </w:tcBorders>
            <w:gridSpan w:val="1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14(a), under the Securities Exchange Act of 1934, as Adopted pursuant to Section</w:t>
            </w:r>
          </w:p>
        </w:tc>
        <w:tc>
          <w:tcPr>
            <w:tcW w:w="48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340" w:type="dxa"/>
            <w:vAlign w:val="bottom"/>
            <w:gridSpan w:val="11"/>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302 of the Sarbanes-Oxley Act of 2002.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0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31.2*</w:t>
            </w:r>
          </w:p>
        </w:tc>
        <w:tc>
          <w:tcPr>
            <w:tcW w:w="5440" w:type="dxa"/>
            <w:vAlign w:val="bottom"/>
            <w:tcBorders>
              <w:bottom w:val="single" w:sz="8" w:color="0000EE"/>
            </w:tcBorders>
            <w:gridSpan w:val="9"/>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w w:val="98"/>
              </w:rPr>
              <w:t>Certification of Principal Financial Officer Pursuant to Rules 13a-14(a) and 15d-14(a)</w:t>
            </w:r>
          </w:p>
        </w:tc>
        <w:tc>
          <w:tcPr>
            <w:tcW w:w="4900" w:type="dxa"/>
            <w:vAlign w:val="bottom"/>
            <w:tcBorders>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420" w:type="dxa"/>
            <w:vAlign w:val="bottom"/>
            <w:tcBorders>
              <w:bottom w:val="single" w:sz="8" w:color="0000EE"/>
            </w:tcBorders>
            <w:gridSpan w:val="8"/>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under the Securities Exchange Act of 1934, as Adopted Pursuant to Section 302 of</w:t>
            </w:r>
          </w:p>
        </w:tc>
        <w:tc>
          <w:tcPr>
            <w:tcW w:w="4920" w:type="dxa"/>
            <w:vAlign w:val="bottom"/>
            <w:tcBorders>
              <w:bottom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340" w:type="dxa"/>
            <w:vAlign w:val="bottom"/>
            <w:gridSpan w:val="11"/>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the Sarbanes-Oxley Act of 2002.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040" w:type="dxa"/>
            <w:vAlign w:val="bottom"/>
            <w:tcBorders>
              <w:top w:val="single" w:sz="8" w:color="0000EE"/>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32.1**</w:t>
            </w:r>
          </w:p>
        </w:tc>
        <w:tc>
          <w:tcPr>
            <w:tcW w:w="10340" w:type="dxa"/>
            <w:vAlign w:val="bottom"/>
            <w:gridSpan w:val="11"/>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Certification of Principal Executive Officer Pursuant to 18 U.S.C. Section 1350, as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5380" w:type="dxa"/>
            <w:vAlign w:val="bottom"/>
            <w:tcBorders>
              <w:top w:val="single" w:sz="8" w:color="0000EE"/>
            </w:tcBorders>
            <w:gridSpan w:val="6"/>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Adopted Pursuant to Section 906 of the Sarbanes-Oxley Act of 2002.</w:t>
            </w:r>
          </w:p>
        </w:tc>
        <w:tc>
          <w:tcPr>
            <w:tcW w:w="496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0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32.2**</w:t>
            </w:r>
          </w:p>
        </w:tc>
        <w:tc>
          <w:tcPr>
            <w:tcW w:w="5400" w:type="dxa"/>
            <w:vAlign w:val="bottom"/>
            <w:tcBorders>
              <w:bottom w:val="single" w:sz="8" w:color="0000EE"/>
            </w:tcBorders>
            <w:gridSpan w:val="7"/>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Certification of Principal Financial Officer Pursuant to 18 U.S.C. Section 1350, as</w:t>
            </w:r>
          </w:p>
        </w:tc>
        <w:tc>
          <w:tcPr>
            <w:tcW w:w="4940" w:type="dxa"/>
            <w:vAlign w:val="bottom"/>
            <w:tcBorders>
              <w:bottom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340" w:type="dxa"/>
            <w:vAlign w:val="bottom"/>
            <w:gridSpan w:val="11"/>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Adopted Pursuant to Section 906 of the Sarbanes-Oxley Act of 2002.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0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97.1*</w:t>
            </w:r>
          </w:p>
        </w:tc>
        <w:tc>
          <w:tcPr>
            <w:tcW w:w="10340" w:type="dxa"/>
            <w:vAlign w:val="bottom"/>
            <w:gridSpan w:val="11"/>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Snail, Inc. Clawback Policy, adopted November 30,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0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101.INS</w:t>
            </w:r>
          </w:p>
        </w:tc>
        <w:tc>
          <w:tcPr>
            <w:tcW w:w="103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101.SCH</w:t>
            </w:r>
          </w:p>
        </w:tc>
        <w:tc>
          <w:tcPr>
            <w:tcW w:w="103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w:t>
            </w:r>
          </w:p>
        </w:tc>
        <w:tc>
          <w:tcPr>
            <w:tcW w:w="103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101.DEF</w:t>
            </w:r>
          </w:p>
        </w:tc>
        <w:tc>
          <w:tcPr>
            <w:tcW w:w="103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101.LAB</w:t>
            </w:r>
          </w:p>
        </w:tc>
        <w:tc>
          <w:tcPr>
            <w:tcW w:w="103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101.PRE</w:t>
            </w:r>
          </w:p>
        </w:tc>
        <w:tc>
          <w:tcPr>
            <w:tcW w:w="103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03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666" w:hanging="666"/>
        <w:spacing w:after="0"/>
        <w:tabs>
          <w:tab w:leader="none" w:pos="66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92"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5"/>
          <w:szCs w:val="15"/>
          <w:color w:val="auto"/>
        </w:rPr>
        <w:t>These certifications are being furnished solely to accompany this Annual Report on Form 10-K pursuant to 18 U.S.C. Section 1350, and are not being filed for purposes</w:t>
      </w:r>
    </w:p>
    <w:p>
      <w:pPr>
        <w:spacing w:after="0" w:line="31" w:lineRule="exact"/>
        <w:rPr>
          <w:sz w:val="20"/>
          <w:szCs w:val="20"/>
          <w:color w:val="auto"/>
        </w:rPr>
      </w:pPr>
    </w:p>
    <w:p>
      <w:pPr>
        <w:ind w:left="566" w:hanging="566"/>
        <w:spacing w:after="0" w:line="250" w:lineRule="auto"/>
        <w:tabs>
          <w:tab w:leader="none" w:pos="56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Section 18 of the Securities Exchange Act of 1934 and are not to be incorporated by reference into any filing of Snail, Inc., whether made before or after the date hereof, regardless of any general incorporation language in such filing.</w:t>
      </w:r>
    </w:p>
    <w:p>
      <w:pPr>
        <w:spacing w:after="0" w:line="165" w:lineRule="exact"/>
        <w:rPr>
          <w:sz w:val="20"/>
          <w:szCs w:val="20"/>
          <w:color w:val="auto"/>
        </w:rPr>
      </w:pPr>
    </w:p>
    <w:p>
      <w:pPr>
        <w:ind w:left="566" w:hanging="566"/>
        <w:spacing w:after="0"/>
        <w:tabs>
          <w:tab w:leader="none" w:pos="56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None.</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484"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4" w:lineRule="exact"/>
        <w:rPr>
          <w:sz w:val="20"/>
          <w:szCs w:val="20"/>
          <w:color w:val="auto"/>
        </w:rPr>
      </w:pPr>
    </w:p>
    <w:p>
      <w:pPr>
        <w:ind w:firstLine="282"/>
        <w:spacing w:after="0" w:line="27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as amended, the Registrant has duly caused this Report to be signed on its behalf by the undersigned, thereunto duly authorized, in Culver City, California, on April 1, 2024</w:t>
      </w:r>
      <w:r>
        <w:rPr>
          <w:rFonts w:ascii="Times New Roman" w:cs="Times New Roman" w:eastAsia="Times New Roman" w:hAnsi="Times New Roman"/>
          <w:sz w:val="16"/>
          <w:szCs w:val="16"/>
          <w:b w:val="1"/>
          <w:bCs w:val="1"/>
          <w:color w:val="auto"/>
        </w:rPr>
        <w:t>.</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Snail, Inc.</w:t>
      </w:r>
    </w:p>
    <w:p>
      <w:pPr>
        <w:spacing w:after="0" w:line="216" w:lineRule="exact"/>
        <w:rPr>
          <w:sz w:val="20"/>
          <w:szCs w:val="20"/>
          <w:color w:val="auto"/>
        </w:rPr>
      </w:pPr>
    </w:p>
    <w:p>
      <w:pPr>
        <w:spacing w:after="0"/>
        <w:tabs>
          <w:tab w:leader="none" w:pos="5620" w:val="left"/>
          <w:tab w:leader="none" w:pos="6160" w:val="left"/>
        </w:tabs>
        <w:rPr>
          <w:sz w:val="20"/>
          <w:szCs w:val="20"/>
          <w:color w:val="auto"/>
        </w:rPr>
      </w:pPr>
      <w:r>
        <w:rPr>
          <w:rFonts w:ascii="Times New Roman" w:cs="Times New Roman" w:eastAsia="Times New Roman" w:hAnsi="Times New Roman"/>
          <w:sz w:val="16"/>
          <w:szCs w:val="16"/>
          <w:color w:val="auto"/>
        </w:rPr>
        <w:t>Date: April 1,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i w:val="1"/>
          <w:iCs w:val="1"/>
          <w:color w:val="auto"/>
        </w:rPr>
        <w:t>/s/ 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20320</wp:posOffset>
            </wp:positionV>
            <wp:extent cx="321691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3216910" cy="15240"/>
                    </a:xfrm>
                    <a:prstGeom prst="rect">
                      <a:avLst/>
                    </a:prstGeom>
                    <a:noFill/>
                  </pic:spPr>
                </pic:pic>
              </a:graphicData>
            </a:graphic>
          </wp:anchor>
        </w:drawing>
      </w:r>
    </w:p>
    <w:p>
      <w:pPr>
        <w:spacing w:after="0" w:line="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b w:val="1"/>
          <w:bCs w:val="1"/>
          <w:color w:val="auto"/>
        </w:rPr>
        <w:t>Jim S. Tsai</w:t>
      </w:r>
    </w:p>
    <w:p>
      <w:pPr>
        <w:spacing w:after="0" w:line="2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88" w:lineRule="exact"/>
        <w:rPr>
          <w:sz w:val="20"/>
          <w:szCs w:val="20"/>
          <w:color w:val="auto"/>
        </w:rPr>
      </w:pPr>
    </w:p>
    <w:p>
      <w:pPr>
        <w:ind w:firstLine="282"/>
        <w:spacing w:after="0" w:line="27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this Report has been signed below by the following persons on behalf of the Registrant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220" w:type="dxa"/>
            <w:vAlign w:val="bottom"/>
          </w:tcPr>
          <w:p>
            <w:pPr>
              <w:spacing w:after="0"/>
              <w:rPr>
                <w:sz w:val="18"/>
                <w:szCs w:val="18"/>
                <w:color w:val="auto"/>
              </w:rPr>
            </w:pPr>
          </w:p>
        </w:tc>
        <w:tc>
          <w:tcPr>
            <w:tcW w:w="450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20" w:type="dxa"/>
            <w:vAlign w:val="bottom"/>
          </w:tcPr>
          <w:p>
            <w:pPr>
              <w:spacing w:after="0"/>
              <w:rPr>
                <w:sz w:val="18"/>
                <w:szCs w:val="18"/>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1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/s/ Jim S. Tsai</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1, 2024</w:t>
            </w:r>
          </w:p>
        </w:tc>
      </w:tr>
      <w:tr>
        <w:trPr>
          <w:trHeight w:val="204"/>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Jim S. Tsai</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(Principle Executive Officer)</w:t>
            </w:r>
          </w:p>
        </w:tc>
        <w:tc>
          <w:tcPr>
            <w:tcW w:w="3160" w:type="dxa"/>
            <w:vAlign w:val="bottom"/>
          </w:tcPr>
          <w:p>
            <w:pPr>
              <w:spacing w:after="0"/>
              <w:rPr>
                <w:sz w:val="17"/>
                <w:szCs w:val="17"/>
                <w:color w:val="auto"/>
              </w:rPr>
            </w:pPr>
          </w:p>
        </w:tc>
      </w:tr>
      <w:tr>
        <w:trPr>
          <w:trHeight w:val="41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Heidy Chow</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Chief Financial Officer and 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1, 2024</w:t>
            </w:r>
          </w:p>
        </w:tc>
      </w:tr>
      <w:tr>
        <w:trPr>
          <w:trHeight w:val="204"/>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Heidy Chow</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c>
          <w:tcPr>
            <w:tcW w:w="3160" w:type="dxa"/>
            <w:vAlign w:val="bottom"/>
          </w:tcPr>
          <w:p>
            <w:pPr>
              <w:spacing w:after="0"/>
              <w:rPr>
                <w:sz w:val="17"/>
                <w:szCs w:val="17"/>
                <w:color w:val="auto"/>
              </w:rPr>
            </w:pPr>
          </w:p>
        </w:tc>
      </w:tr>
      <w:tr>
        <w:trPr>
          <w:trHeight w:val="379"/>
        </w:trPr>
        <w:tc>
          <w:tcPr>
            <w:tcW w:w="3160" w:type="dxa"/>
            <w:vAlign w:val="bottom"/>
          </w:tcPr>
          <w:p>
            <w:pPr>
              <w:spacing w:after="0"/>
              <w:rPr>
                <w:sz w:val="24"/>
                <w:szCs w:val="24"/>
                <w:color w:val="auto"/>
              </w:rPr>
            </w:pP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Founder, Chief Strategy Officer, and Chairman of the Board of</w:t>
            </w:r>
          </w:p>
        </w:tc>
        <w:tc>
          <w:tcPr>
            <w:tcW w:w="3160" w:type="dxa"/>
            <w:vAlign w:val="bottom"/>
          </w:tcPr>
          <w:p>
            <w:pPr>
              <w:spacing w:after="0"/>
              <w:rPr>
                <w:sz w:val="24"/>
                <w:szCs w:val="24"/>
                <w:color w:val="auto"/>
              </w:rPr>
            </w:pPr>
          </w:p>
        </w:tc>
      </w:tr>
      <w:tr>
        <w:trPr>
          <w:trHeight w:val="220"/>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Hai Shi</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Directors</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1, 2024</w:t>
            </w:r>
          </w:p>
        </w:tc>
      </w:tr>
      <w:tr>
        <w:trPr>
          <w:trHeight w:val="204"/>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Hai Shi</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1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Peter Kang</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Chief Operating Officer and 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1, 2024</w:t>
            </w:r>
          </w:p>
        </w:tc>
      </w:tr>
      <w:tr>
        <w:trPr>
          <w:trHeight w:val="204"/>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Peter Kang</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1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/s/ Ying Zhou</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1, 2024</w:t>
            </w:r>
          </w:p>
        </w:tc>
      </w:tr>
      <w:tr>
        <w:trPr>
          <w:trHeight w:val="204"/>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Ying Zhou</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1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 Neil Foster</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1, 2024</w:t>
            </w:r>
          </w:p>
        </w:tc>
      </w:tr>
      <w:tr>
        <w:trPr>
          <w:trHeight w:val="204"/>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Neil Foster</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1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Sandra Pundman</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1, 2024</w:t>
            </w:r>
          </w:p>
        </w:tc>
      </w:tr>
      <w:tr>
        <w:trPr>
          <w:trHeight w:val="204"/>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Sandra Pundman</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1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Ryan Jamieson</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1, 2024</w:t>
            </w:r>
          </w:p>
        </w:tc>
      </w:tr>
      <w:tr>
        <w:trPr>
          <w:trHeight w:val="204"/>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Ryan Jamieson</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376"/>
        </w:trPr>
        <w:tc>
          <w:tcPr>
            <w:tcW w:w="31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ind w:left="2380"/>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7" w:right="3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Consent of Independent Registered Public Accounting Firm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Snail,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Culver City, California</w:t>
      </w:r>
    </w:p>
    <w:p>
      <w:pPr>
        <w:spacing w:after="0" w:line="17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S-1 (No. 333-274626) and Form S-8 (No. 333-268271) of Snail, Inc. of our report dated April 1, 2024, relating to the consolidated financial statements, which appears in this Annual Report on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P.C.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Costa Mesa, California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15010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OFFICER’S CERTIFICATE</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SECTION 302</w:t>
      </w:r>
    </w:p>
    <w:p>
      <w:pPr>
        <w:spacing w:after="0" w:line="1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Jim S. Tsai, certify that:</w:t>
      </w:r>
    </w:p>
    <w:p>
      <w:pPr>
        <w:spacing w:after="0" w:line="192" w:lineRule="exact"/>
        <w:rPr>
          <w:sz w:val="20"/>
          <w:szCs w:val="20"/>
          <w:color w:val="auto"/>
        </w:rPr>
      </w:pPr>
    </w:p>
    <w:p>
      <w:pPr>
        <w:ind w:left="166" w:hanging="166"/>
        <w:spacing w:after="0"/>
        <w:tabs>
          <w:tab w:leader="none" w:pos="16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Snail, Inc.;</w:t>
      </w:r>
    </w:p>
    <w:p>
      <w:pPr>
        <w:spacing w:after="0" w:line="192" w:lineRule="exact"/>
        <w:rPr>
          <w:rFonts w:ascii="Times New Roman" w:cs="Times New Roman" w:eastAsia="Times New Roman" w:hAnsi="Times New Roman"/>
          <w:sz w:val="16"/>
          <w:szCs w:val="16"/>
          <w:color w:val="auto"/>
        </w:rPr>
      </w:pPr>
    </w:p>
    <w:p>
      <w:pPr>
        <w:ind w:left="6" w:hanging="6"/>
        <w:spacing w:after="0" w:line="270" w:lineRule="auto"/>
        <w:tabs>
          <w:tab w:leader="none" w:pos="16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6"/>
          <w:szCs w:val="16"/>
          <w:color w:val="auto"/>
        </w:rPr>
      </w:pPr>
    </w:p>
    <w:p>
      <w:pPr>
        <w:ind w:left="6" w:hanging="6"/>
        <w:spacing w:after="0" w:line="270" w:lineRule="auto"/>
        <w:tabs>
          <w:tab w:leader="none" w:pos="16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6" w:right="20" w:hanging="6"/>
        <w:spacing w:after="0" w:line="270" w:lineRule="auto"/>
        <w:tabs>
          <w:tab w:leader="none" w:pos="16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50" w:lineRule="exact"/>
        <w:rPr>
          <w:sz w:val="20"/>
          <w:szCs w:val="20"/>
          <w:color w:val="auto"/>
        </w:rPr>
      </w:pPr>
    </w:p>
    <w:p>
      <w:pPr>
        <w:jc w:val="both"/>
        <w:ind w:left="6" w:hanging="6"/>
        <w:spacing w:after="0" w:line="258" w:lineRule="auto"/>
        <w:tabs>
          <w:tab w:leader="none" w:pos="17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[Paragraph intentionally omitted in accordance with SEC Release Nos. 34-47986 and 34-54942];</w:t>
      </w:r>
    </w:p>
    <w:p>
      <w:pPr>
        <w:spacing w:after="0" w:line="192" w:lineRule="exact"/>
        <w:rPr>
          <w:rFonts w:ascii="Times New Roman" w:cs="Times New Roman" w:eastAsia="Times New Roman" w:hAnsi="Times New Roman"/>
          <w:sz w:val="16"/>
          <w:szCs w:val="16"/>
          <w:color w:val="auto"/>
        </w:rPr>
      </w:pPr>
    </w:p>
    <w:p>
      <w:pPr>
        <w:ind w:left="6" w:right="20" w:hanging="6"/>
        <w:spacing w:after="0" w:line="270" w:lineRule="auto"/>
        <w:tabs>
          <w:tab w:leader="none" w:pos="17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jc w:val="both"/>
        <w:ind w:left="6" w:hanging="6"/>
        <w:spacing w:after="0" w:line="258" w:lineRule="auto"/>
        <w:tabs>
          <w:tab w:leader="none" w:pos="18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sz w:val="20"/>
          <w:szCs w:val="20"/>
          <w:color w:val="auto"/>
        </w:rPr>
      </w:pPr>
    </w:p>
    <w:p>
      <w:pPr>
        <w:ind w:left="6" w:hanging="6"/>
        <w:spacing w:after="0" w:line="270" w:lineRule="auto"/>
        <w:tabs>
          <w:tab w:leader="none" w:pos="16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sz w:val="20"/>
          <w:szCs w:val="20"/>
          <w:color w:val="auto"/>
        </w:rPr>
      </w:pPr>
    </w:p>
    <w:p>
      <w:pPr>
        <w:ind w:left="6" w:right="20" w:hanging="6"/>
        <w:spacing w:after="0" w:line="270" w:lineRule="auto"/>
        <w:tabs>
          <w:tab w:leader="none" w:pos="16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 April 1, 2024</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/s/ 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57505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3575050" cy="15240"/>
                    </a:xfrm>
                    <a:prstGeom prst="rect">
                      <a:avLst/>
                    </a:prstGeom>
                    <a:noFill/>
                  </pic:spPr>
                </pic:pic>
              </a:graphicData>
            </a:graphic>
          </wp:anchor>
        </w:drawing>
      </w:r>
    </w:p>
    <w:p>
      <w:pPr>
        <w:spacing w:after="0" w:line="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Jim S. Tsai</w:t>
      </w:r>
    </w:p>
    <w:p>
      <w:pPr>
        <w:spacing w:after="0" w:line="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15010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309" w:right="3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OFFICER’S CERTIFICATE</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SECTION 302</w:t>
      </w:r>
    </w:p>
    <w:p>
      <w:pPr>
        <w:spacing w:after="0" w:line="1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Heidy Chow, certify that:</w:t>
      </w:r>
    </w:p>
    <w:p>
      <w:pPr>
        <w:spacing w:after="0" w:line="192" w:lineRule="exact"/>
        <w:rPr>
          <w:sz w:val="20"/>
          <w:szCs w:val="20"/>
          <w:color w:val="auto"/>
        </w:rPr>
      </w:pPr>
    </w:p>
    <w:p>
      <w:pPr>
        <w:ind w:left="166" w:hanging="166"/>
        <w:spacing w:after="0"/>
        <w:tabs>
          <w:tab w:leader="none" w:pos="16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Snail, Inc.;</w:t>
      </w:r>
    </w:p>
    <w:p>
      <w:pPr>
        <w:spacing w:after="0" w:line="192" w:lineRule="exact"/>
        <w:rPr>
          <w:rFonts w:ascii="Times New Roman" w:cs="Times New Roman" w:eastAsia="Times New Roman" w:hAnsi="Times New Roman"/>
          <w:sz w:val="16"/>
          <w:szCs w:val="16"/>
          <w:color w:val="auto"/>
        </w:rPr>
      </w:pPr>
    </w:p>
    <w:p>
      <w:pPr>
        <w:ind w:left="6" w:hanging="6"/>
        <w:spacing w:after="0" w:line="270" w:lineRule="auto"/>
        <w:tabs>
          <w:tab w:leader="none" w:pos="16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6"/>
          <w:szCs w:val="16"/>
          <w:color w:val="auto"/>
        </w:rPr>
      </w:pPr>
    </w:p>
    <w:p>
      <w:pPr>
        <w:ind w:left="6" w:hanging="6"/>
        <w:spacing w:after="0" w:line="270" w:lineRule="auto"/>
        <w:tabs>
          <w:tab w:leader="none" w:pos="16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6" w:right="20" w:hanging="6"/>
        <w:spacing w:after="0" w:line="270" w:lineRule="auto"/>
        <w:tabs>
          <w:tab w:leader="none" w:pos="16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50" w:lineRule="exact"/>
        <w:rPr>
          <w:sz w:val="20"/>
          <w:szCs w:val="20"/>
          <w:color w:val="auto"/>
        </w:rPr>
      </w:pPr>
    </w:p>
    <w:p>
      <w:pPr>
        <w:jc w:val="both"/>
        <w:ind w:left="6" w:hanging="6"/>
        <w:spacing w:after="0" w:line="258" w:lineRule="auto"/>
        <w:tabs>
          <w:tab w:leader="none" w:pos="17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[Paragraph intentionally omitted in accordance with SEC Release Nos. 34-47986 and 34-54942];</w:t>
      </w:r>
    </w:p>
    <w:p>
      <w:pPr>
        <w:spacing w:after="0" w:line="192" w:lineRule="exact"/>
        <w:rPr>
          <w:rFonts w:ascii="Times New Roman" w:cs="Times New Roman" w:eastAsia="Times New Roman" w:hAnsi="Times New Roman"/>
          <w:sz w:val="16"/>
          <w:szCs w:val="16"/>
          <w:color w:val="auto"/>
        </w:rPr>
      </w:pPr>
    </w:p>
    <w:p>
      <w:pPr>
        <w:ind w:left="6" w:right="20" w:hanging="6"/>
        <w:spacing w:after="0" w:line="270" w:lineRule="auto"/>
        <w:tabs>
          <w:tab w:leader="none" w:pos="17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jc w:val="both"/>
        <w:ind w:left="6" w:hanging="6"/>
        <w:spacing w:after="0" w:line="258" w:lineRule="auto"/>
        <w:tabs>
          <w:tab w:leader="none" w:pos="18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sz w:val="20"/>
          <w:szCs w:val="20"/>
          <w:color w:val="auto"/>
        </w:rPr>
      </w:pPr>
    </w:p>
    <w:p>
      <w:pPr>
        <w:ind w:left="6" w:hanging="6"/>
        <w:spacing w:after="0" w:line="270" w:lineRule="auto"/>
        <w:tabs>
          <w:tab w:leader="none" w:pos="16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sz w:val="20"/>
          <w:szCs w:val="20"/>
          <w:color w:val="auto"/>
        </w:rPr>
      </w:pPr>
    </w:p>
    <w:p>
      <w:pPr>
        <w:ind w:left="6" w:right="20" w:hanging="6"/>
        <w:spacing w:after="0" w:line="270" w:lineRule="auto"/>
        <w:tabs>
          <w:tab w:leader="none" w:pos="16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 April 1, 2024</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/s/ 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57505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3575050" cy="15240"/>
                    </a:xfrm>
                    <a:prstGeom prst="rect">
                      <a:avLst/>
                    </a:prstGeom>
                    <a:noFill/>
                  </pic:spPr>
                </pic:pic>
              </a:graphicData>
            </a:graphic>
          </wp:anchor>
        </w:drawing>
      </w:r>
    </w:p>
    <w:p>
      <w:pPr>
        <w:spacing w:after="0" w:line="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Heidy Chow</w:t>
      </w:r>
    </w:p>
    <w:p>
      <w:pPr>
        <w:spacing w:after="0" w:line="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15010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309"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906 OF THE SARBANES OXLEY ACT OF 2002</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77" w:lineRule="exact"/>
        <w:rPr>
          <w:sz w:val="20"/>
          <w:szCs w:val="20"/>
          <w:color w:val="auto"/>
        </w:rPr>
      </w:pPr>
    </w:p>
    <w:p>
      <w:pPr>
        <w:jc w:val="both"/>
        <w:ind w:left="6" w:right="20"/>
        <w:spacing w:after="0" w:line="258" w:lineRule="auto"/>
        <w:rPr>
          <w:sz w:val="20"/>
          <w:szCs w:val="20"/>
          <w:color w:val="auto"/>
        </w:rPr>
      </w:pPr>
      <w:r>
        <w:rPr>
          <w:rFonts w:ascii="Times New Roman" w:cs="Times New Roman" w:eastAsia="Times New Roman" w:hAnsi="Times New Roman"/>
          <w:sz w:val="16"/>
          <w:szCs w:val="16"/>
          <w:color w:val="auto"/>
        </w:rPr>
        <w:t>In connection with the Annual Report of Snail, Inc. (the “Company”) on Form 10-K for the period ended December 31, 2023, as filed with the Securities and Exchange Commission on the date hereof (the “Report”), I, Jim S. Tsai, Chief Executive Officer of the Company, certify, pursuant to 18 U.S.C. Section 1350, as adopted pursuant to Section 906 of the Sarbanes-Oxley Act of 2002, that to the best of my knowledge:</w:t>
      </w:r>
    </w:p>
    <w:p>
      <w:pPr>
        <w:spacing w:after="0" w:line="159" w:lineRule="exact"/>
        <w:rPr>
          <w:sz w:val="20"/>
          <w:szCs w:val="20"/>
          <w:color w:val="auto"/>
        </w:rPr>
      </w:pPr>
    </w:p>
    <w:p>
      <w:pPr>
        <w:ind w:left="226" w:hanging="226"/>
        <w:spacing w:after="0"/>
        <w:tabs>
          <w:tab w:leader="none" w:pos="22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2" w:lineRule="exact"/>
        <w:rPr>
          <w:rFonts w:ascii="Times New Roman" w:cs="Times New Roman" w:eastAsia="Times New Roman" w:hAnsi="Times New Roman"/>
          <w:sz w:val="16"/>
          <w:szCs w:val="16"/>
          <w:color w:val="auto"/>
        </w:rPr>
      </w:pPr>
    </w:p>
    <w:p>
      <w:pPr>
        <w:ind w:left="226" w:hanging="226"/>
        <w:spacing w:after="0"/>
        <w:tabs>
          <w:tab w:leader="none" w:pos="22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/s/ 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57505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3575050" cy="15240"/>
                    </a:xfrm>
                    <a:prstGeom prst="rect">
                      <a:avLst/>
                    </a:prstGeom>
                    <a:noFill/>
                  </pic:spPr>
                </pic:pic>
              </a:graphicData>
            </a:graphic>
          </wp:anchor>
        </w:drawing>
      </w:r>
    </w:p>
    <w:p>
      <w:pPr>
        <w:spacing w:after="0" w:line="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Jim S. Tsai</w:t>
      </w:r>
    </w:p>
    <w:p>
      <w:pPr>
        <w:spacing w:after="0" w:line="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5010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309" w:right="31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906 OF THE SARBANES OXLEY ACT OF 2002</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77"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6"/>
          <w:szCs w:val="16"/>
          <w:color w:val="auto"/>
        </w:rPr>
        <w:t>In connection with the Annual Report of Snail, Inc. (the “Company”) on Form 10-K for the period ended December 31, 2023, as filed with the Securities and Exchange Commission on the date hereof (the “Report”), I, Heidy Chow, Chief Financial Officer of the Company, certify, pursuant to 18 U.S.C. Section 1350, as adopted pursuant to Section 906 of the Sarbanes-Oxley Act of 2002, that to the best of my knowledge:</w:t>
      </w:r>
    </w:p>
    <w:p>
      <w:pPr>
        <w:spacing w:after="0" w:line="159" w:lineRule="exact"/>
        <w:rPr>
          <w:sz w:val="20"/>
          <w:szCs w:val="20"/>
          <w:color w:val="auto"/>
        </w:rPr>
      </w:pPr>
    </w:p>
    <w:p>
      <w:pPr>
        <w:ind w:left="226" w:hanging="226"/>
        <w:spacing w:after="0"/>
        <w:tabs>
          <w:tab w:leader="none" w:pos="22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2" w:lineRule="exact"/>
        <w:rPr>
          <w:rFonts w:ascii="Times New Roman" w:cs="Times New Roman" w:eastAsia="Times New Roman" w:hAnsi="Times New Roman"/>
          <w:sz w:val="16"/>
          <w:szCs w:val="16"/>
          <w:color w:val="auto"/>
        </w:rPr>
      </w:pPr>
    </w:p>
    <w:p>
      <w:pPr>
        <w:ind w:left="226" w:hanging="226"/>
        <w:spacing w:after="0"/>
        <w:tabs>
          <w:tab w:leader="none" w:pos="22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/s/ 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57505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3575050" cy="15240"/>
                    </a:xfrm>
                    <a:prstGeom prst="rect">
                      <a:avLst/>
                    </a:prstGeom>
                    <a:noFill/>
                  </pic:spPr>
                </pic:pic>
              </a:graphicData>
            </a:graphic>
          </wp:anchor>
        </w:drawing>
      </w:r>
    </w:p>
    <w:p>
      <w:pPr>
        <w:spacing w:after="0" w:line="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Heidy Chow</w:t>
      </w:r>
    </w:p>
    <w:p>
      <w:pPr>
        <w:spacing w:after="0" w:line="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1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5010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309"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6"/>
          <w:szCs w:val="16"/>
          <w:b w:val="1"/>
          <w:bCs w:val="1"/>
          <w:color w:val="auto"/>
        </w:rPr>
        <w:t>Exhibit 97.1</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Snail, Inc. Compensation Recovery Policy</w:t>
      </w:r>
    </w:p>
    <w:p>
      <w:pPr>
        <w:spacing w:after="0" w:line="192" w:lineRule="exact"/>
        <w:rPr>
          <w:sz w:val="20"/>
          <w:szCs w:val="20"/>
          <w:color w:val="auto"/>
        </w:rPr>
      </w:pPr>
    </w:p>
    <w:p>
      <w:pPr>
        <w:jc w:val="both"/>
        <w:ind w:left="6" w:right="20" w:hanging="6"/>
        <w:spacing w:after="0" w:line="270" w:lineRule="auto"/>
        <w:tabs>
          <w:tab w:leader="none" w:pos="163" w:val="left"/>
        </w:tabs>
        <w:numPr>
          <w:ilvl w:val="0"/>
          <w:numId w:val="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Purpose. </w:t>
      </w:r>
      <w:r>
        <w:rPr>
          <w:rFonts w:ascii="Times New Roman" w:cs="Times New Roman" w:eastAsia="Times New Roman" w:hAnsi="Times New Roman"/>
          <w:sz w:val="15"/>
          <w:szCs w:val="15"/>
          <w:color w:val="auto"/>
        </w:rPr>
        <w:t>The purpose of this Compensation Recovery Policy of the Company (as amended from time to time, the “</w:t>
      </w:r>
      <w:r>
        <w:rPr>
          <w:rFonts w:ascii="Times New Roman" w:cs="Times New Roman" w:eastAsia="Times New Roman" w:hAnsi="Times New Roman"/>
          <w:sz w:val="15"/>
          <w:szCs w:val="15"/>
          <w:u w:val="single" w:color="auto"/>
          <w:color w:val="auto"/>
        </w:rPr>
        <w:t>Policy</w:t>
      </w:r>
      <w:r>
        <w:rPr>
          <w:rFonts w:ascii="Times New Roman" w:cs="Times New Roman" w:eastAsia="Times New Roman" w:hAnsi="Times New Roman"/>
          <w:sz w:val="15"/>
          <w:szCs w:val="15"/>
          <w:color w:val="auto"/>
        </w:rPr>
        <w:t>”), dated as of November 30, 2023 to describe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circumstances in which current and former Executive Officers will be required to repay or return Erroneously Awarded Compensation to members of the Company Group. The Company has adopted this Policy to comply with Section 954 of the Dodd-Frank Wall Street Reform and Consumer Protection Act of 2010, as codified by Section 10D of the Exchange Act, Exchange Act Rule 10D-1 promulgated thereunder, and the rules and requirements of Nasdaq (including Nasdaq Listing Rule 5608) (such legal requirements, and rules and requirements of Nasdaq, collectively, the “</w:t>
      </w:r>
      <w:r>
        <w:rPr>
          <w:rFonts w:ascii="Times New Roman" w:cs="Times New Roman" w:eastAsia="Times New Roman" w:hAnsi="Times New Roman"/>
          <w:sz w:val="15"/>
          <w:szCs w:val="15"/>
          <w:u w:val="single" w:color="auto"/>
          <w:color w:val="auto"/>
        </w:rPr>
        <w:t>SEC/Nasdaq Clawback Rules</w:t>
      </w:r>
      <w:r>
        <w:rPr>
          <w:rFonts w:ascii="Times New Roman" w:cs="Times New Roman" w:eastAsia="Times New Roman" w:hAnsi="Times New Roman"/>
          <w:sz w:val="15"/>
          <w:szCs w:val="15"/>
          <w:color w:val="auto"/>
        </w:rPr>
        <w:t xml:space="preserve">”). Each Executive Officer shall be required to sign and return to the Company the form of acknowledgment to this Policy in the form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pursuant to which such Executive Officer will agree to be bound by the terms and comply with this Policy.</w:t>
      </w:r>
    </w:p>
    <w:p>
      <w:pPr>
        <w:spacing w:after="0" w:line="152" w:lineRule="exact"/>
        <w:rPr>
          <w:rFonts w:ascii="Times New Roman" w:cs="Times New Roman" w:eastAsia="Times New Roman" w:hAnsi="Times New Roman"/>
          <w:sz w:val="15"/>
          <w:szCs w:val="15"/>
          <w:b w:val="1"/>
          <w:bCs w:val="1"/>
          <w:color w:val="auto"/>
        </w:rPr>
      </w:pPr>
    </w:p>
    <w:p>
      <w:pPr>
        <w:jc w:val="both"/>
        <w:ind w:left="6" w:hanging="6"/>
        <w:spacing w:after="0" w:line="254" w:lineRule="auto"/>
        <w:tabs>
          <w:tab w:leader="none" w:pos="178"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Administration. </w:t>
      </w:r>
      <w:r>
        <w:rPr>
          <w:rFonts w:ascii="Times New Roman" w:cs="Times New Roman" w:eastAsia="Times New Roman" w:hAnsi="Times New Roman"/>
          <w:sz w:val="16"/>
          <w:szCs w:val="16"/>
          <w:color w:val="auto"/>
        </w:rPr>
        <w:t>This Policy shall be administered by the Committee. The Committee is authorized to interpret and construe this Policy and to make all determinations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necessary, appropriate, or advisable for the administration of this Policy, and any such determinations made by the Committee shall be in the Committee’s sole discretion and shall be final and binding on all affected individuals. Except as otherwise required by applicable legal requirements or the rules and requirements of Nasdaq, any determinations of the Committee hereunder need not be uniform with respect to one or more Executive Officers (whether current and/or former).</w:t>
      </w:r>
    </w:p>
    <w:p>
      <w:pPr>
        <w:spacing w:after="0" w:line="161" w:lineRule="exact"/>
        <w:rPr>
          <w:rFonts w:ascii="Times New Roman" w:cs="Times New Roman" w:eastAsia="Times New Roman" w:hAnsi="Times New Roman"/>
          <w:sz w:val="16"/>
          <w:szCs w:val="16"/>
          <w:b w:val="1"/>
          <w:bCs w:val="1"/>
          <w:color w:val="auto"/>
        </w:rPr>
      </w:pPr>
    </w:p>
    <w:p>
      <w:pPr>
        <w:ind w:left="166" w:hanging="166"/>
        <w:spacing w:after="0"/>
        <w:tabs>
          <w:tab w:leader="none" w:pos="166"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Definitions. </w:t>
      </w:r>
      <w:r>
        <w:rPr>
          <w:rFonts w:ascii="Times New Roman" w:cs="Times New Roman" w:eastAsia="Times New Roman" w:hAnsi="Times New Roman"/>
          <w:sz w:val="16"/>
          <w:szCs w:val="16"/>
          <w:color w:val="auto"/>
        </w:rPr>
        <w:t>For purposes of this Policy, the following capitalized terms shall have the meanings set forth below:</w:t>
      </w:r>
    </w:p>
    <w:p>
      <w:pPr>
        <w:spacing w:after="0" w:line="194" w:lineRule="exact"/>
        <w:rPr>
          <w:rFonts w:ascii="Times New Roman" w:cs="Times New Roman" w:eastAsia="Times New Roman" w:hAnsi="Times New Roman"/>
          <w:sz w:val="16"/>
          <w:szCs w:val="16"/>
          <w:b w:val="1"/>
          <w:bCs w:val="1"/>
          <w:color w:val="auto"/>
        </w:rPr>
      </w:pPr>
    </w:p>
    <w:p>
      <w:pPr>
        <w:jc w:val="both"/>
        <w:ind w:left="566" w:hanging="2"/>
        <w:spacing w:after="0" w:line="253" w:lineRule="auto"/>
        <w:tabs>
          <w:tab w:leader="none" w:pos="779"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Accounting Restatement</w:t>
      </w:r>
      <w:r>
        <w:rPr>
          <w:rFonts w:ascii="Times New Roman" w:cs="Times New Roman" w:eastAsia="Times New Roman" w:hAnsi="Times New Roman"/>
          <w:sz w:val="16"/>
          <w:szCs w:val="16"/>
          <w:color w:val="auto"/>
        </w:rPr>
        <w:t>” shall mean an accounting restatement due to the material noncompliance of the Company with any financial reporting requirement under the securities laws, including any required accounting restatement (i) to correct an error in previously issued financial statements (a “Big R” restatement) that is material to the previously issued financial statements, or (ii) that would result in a material misstatement if the error were corrected in the current period or left uncorrected in the current period (a “little r” restatement).</w:t>
      </w:r>
    </w:p>
    <w:p>
      <w:pPr>
        <w:spacing w:after="0" w:line="164" w:lineRule="exact"/>
        <w:rPr>
          <w:rFonts w:ascii="Times New Roman" w:cs="Times New Roman" w:eastAsia="Times New Roman" w:hAnsi="Times New Roman"/>
          <w:sz w:val="16"/>
          <w:szCs w:val="16"/>
          <w:color w:val="auto"/>
        </w:rPr>
      </w:pPr>
    </w:p>
    <w:p>
      <w:pPr>
        <w:ind w:left="786" w:hanging="222"/>
        <w:spacing w:after="0"/>
        <w:tabs>
          <w:tab w:leader="none" w:pos="786"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shall mean the Board of Directors of the Company.</w:t>
      </w:r>
    </w:p>
    <w:p>
      <w:pPr>
        <w:spacing w:after="0" w:line="192" w:lineRule="exact"/>
        <w:rPr>
          <w:rFonts w:ascii="Times New Roman" w:cs="Times New Roman" w:eastAsia="Times New Roman" w:hAnsi="Times New Roman"/>
          <w:sz w:val="16"/>
          <w:szCs w:val="16"/>
          <w:color w:val="auto"/>
        </w:rPr>
      </w:pPr>
    </w:p>
    <w:p>
      <w:pPr>
        <w:ind w:left="566" w:right="20" w:hanging="2"/>
        <w:spacing w:after="0" w:line="270" w:lineRule="auto"/>
        <w:tabs>
          <w:tab w:leader="none" w:pos="79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Clawback Eligible Incentive Compensation</w:t>
      </w:r>
      <w:r>
        <w:rPr>
          <w:rFonts w:ascii="Times New Roman" w:cs="Times New Roman" w:eastAsia="Times New Roman" w:hAnsi="Times New Roman"/>
          <w:sz w:val="16"/>
          <w:szCs w:val="16"/>
          <w:color w:val="auto"/>
        </w:rPr>
        <w:t>” shall mean all Incentive-Based Compensation Received by any current or former Executive Officer on or after the Nasdaq Effective Date, provided that:</w:t>
      </w:r>
    </w:p>
    <w:p>
      <w:pPr>
        <w:spacing w:after="0" w:line="150" w:lineRule="exact"/>
        <w:rPr>
          <w:rFonts w:ascii="Times New Roman" w:cs="Times New Roman" w:eastAsia="Times New Roman" w:hAnsi="Times New Roman"/>
          <w:sz w:val="16"/>
          <w:szCs w:val="16"/>
          <w:color w:val="auto"/>
        </w:rPr>
      </w:pPr>
    </w:p>
    <w:p>
      <w:pPr>
        <w:ind w:left="1306" w:hanging="178"/>
        <w:spacing w:after="0"/>
        <w:tabs>
          <w:tab w:leader="none" w:pos="1306"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Incentive-Based Compensation is Received after such individual began serving as an Executive Officer;</w:t>
      </w:r>
    </w:p>
    <w:p>
      <w:pPr>
        <w:spacing w:after="0" w:line="192" w:lineRule="exact"/>
        <w:rPr>
          <w:rFonts w:ascii="Times New Roman" w:cs="Times New Roman" w:eastAsia="Times New Roman" w:hAnsi="Times New Roman"/>
          <w:sz w:val="16"/>
          <w:szCs w:val="16"/>
          <w:color w:val="auto"/>
        </w:rPr>
      </w:pPr>
    </w:p>
    <w:p>
      <w:pPr>
        <w:ind w:left="1366" w:hanging="238"/>
        <w:spacing w:after="0"/>
        <w:tabs>
          <w:tab w:leader="none" w:pos="1366"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individual served as an Executive Officer at any time during the performance period for such Incentive-Based Compensation;</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309" w:right="319" w:bottom="1440" w:gutter="0" w:footer="0" w:header="0"/>
        </w:sectPr>
      </w:pPr>
    </w:p>
    <w:bookmarkStart w:id="105" w:name="page106"/>
    <w:bookmarkEnd w:id="105"/>
    <w:p>
      <w:pPr>
        <w:ind w:left="842" w:hanging="278"/>
        <w:spacing w:after="0"/>
        <w:tabs>
          <w:tab w:leader="none" w:pos="842"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Incentive-Based Compensation is Received while the Company has a class of securities listed on Nasdaq; and</w:t>
      </w:r>
    </w:p>
    <w:p>
      <w:pPr>
        <w:spacing w:after="0" w:line="192" w:lineRule="exact"/>
        <w:rPr>
          <w:rFonts w:ascii="Times New Roman" w:cs="Times New Roman" w:eastAsia="Times New Roman" w:hAnsi="Times New Roman"/>
          <w:sz w:val="16"/>
          <w:szCs w:val="16"/>
          <w:color w:val="auto"/>
        </w:rPr>
      </w:pPr>
    </w:p>
    <w:p>
      <w:pPr>
        <w:ind w:left="822" w:hanging="258"/>
        <w:spacing w:after="0"/>
        <w:tabs>
          <w:tab w:leader="none" w:pos="822"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Incentive-Based Compensation is Received during the applicable Clawback Period.</w:t>
      </w:r>
    </w:p>
    <w:p>
      <w:pPr>
        <w:spacing w:after="0" w:line="192" w:lineRule="exact"/>
        <w:rPr>
          <w:rFonts w:ascii="Times New Roman" w:cs="Times New Roman" w:eastAsia="Times New Roman" w:hAnsi="Times New Roman"/>
          <w:sz w:val="16"/>
          <w:szCs w:val="16"/>
          <w:color w:val="auto"/>
        </w:rPr>
      </w:pPr>
    </w:p>
    <w:p>
      <w:pPr>
        <w:jc w:val="both"/>
        <w:ind w:left="2" w:right="20" w:hanging="2"/>
        <w:spacing w:after="0" w:line="258" w:lineRule="auto"/>
        <w:tabs>
          <w:tab w:leader="none" w:pos="22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Clawback Period</w:t>
      </w:r>
      <w:r>
        <w:rPr>
          <w:rFonts w:ascii="Times New Roman" w:cs="Times New Roman" w:eastAsia="Times New Roman" w:hAnsi="Times New Roman"/>
          <w:sz w:val="16"/>
          <w:szCs w:val="16"/>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58" w:lineRule="exact"/>
        <w:rPr>
          <w:rFonts w:ascii="Times New Roman" w:cs="Times New Roman" w:eastAsia="Times New Roman" w:hAnsi="Times New Roman"/>
          <w:sz w:val="16"/>
          <w:szCs w:val="16"/>
          <w:color w:val="auto"/>
        </w:rPr>
      </w:pPr>
    </w:p>
    <w:p>
      <w:pPr>
        <w:ind w:left="222" w:hanging="222"/>
        <w:spacing w:after="0"/>
        <w:tabs>
          <w:tab w:leader="none" w:pos="22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shall mean the Compensation Committee of the Board.</w:t>
      </w:r>
    </w:p>
    <w:p>
      <w:pPr>
        <w:spacing w:after="0" w:line="192" w:lineRule="exact"/>
        <w:rPr>
          <w:rFonts w:ascii="Times New Roman" w:cs="Times New Roman" w:eastAsia="Times New Roman" w:hAnsi="Times New Roman"/>
          <w:sz w:val="16"/>
          <w:szCs w:val="16"/>
          <w:color w:val="auto"/>
        </w:rPr>
      </w:pPr>
    </w:p>
    <w:p>
      <w:pPr>
        <w:ind w:left="202" w:hanging="202"/>
        <w:spacing w:after="0"/>
        <w:tabs>
          <w:tab w:leader="none" w:pos="20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shall mean the common stock, par value $0.0001 per share, of the Company.</w:t>
      </w:r>
    </w:p>
    <w:p>
      <w:pPr>
        <w:spacing w:after="0" w:line="192" w:lineRule="exact"/>
        <w:rPr>
          <w:rFonts w:ascii="Times New Roman" w:cs="Times New Roman" w:eastAsia="Times New Roman" w:hAnsi="Times New Roman"/>
          <w:sz w:val="16"/>
          <w:szCs w:val="16"/>
          <w:color w:val="auto"/>
        </w:rPr>
      </w:pPr>
    </w:p>
    <w:p>
      <w:pPr>
        <w:ind w:left="222" w:hanging="222"/>
        <w:spacing w:after="0"/>
        <w:tabs>
          <w:tab w:leader="none" w:pos="22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shall mean Snail, Inc., a Delaware corporation.</w:t>
      </w:r>
    </w:p>
    <w:p>
      <w:pPr>
        <w:spacing w:after="0" w:line="192" w:lineRule="exact"/>
        <w:rPr>
          <w:rFonts w:ascii="Times New Roman" w:cs="Times New Roman" w:eastAsia="Times New Roman" w:hAnsi="Times New Roman"/>
          <w:sz w:val="16"/>
          <w:szCs w:val="16"/>
          <w:color w:val="auto"/>
        </w:rPr>
      </w:pPr>
    </w:p>
    <w:p>
      <w:pPr>
        <w:ind w:left="222" w:hanging="222"/>
        <w:spacing w:after="0"/>
        <w:tabs>
          <w:tab w:leader="none" w:pos="22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Group</w:t>
      </w:r>
      <w:r>
        <w:rPr>
          <w:rFonts w:ascii="Times New Roman" w:cs="Times New Roman" w:eastAsia="Times New Roman" w:hAnsi="Times New Roman"/>
          <w:sz w:val="16"/>
          <w:szCs w:val="16"/>
          <w:color w:val="auto"/>
        </w:rPr>
        <w:t>” shall mean the Company, together with each of its direct and indirect subsidiaries.</w:t>
      </w:r>
    </w:p>
    <w:p>
      <w:pPr>
        <w:spacing w:after="0" w:line="192" w:lineRule="exact"/>
        <w:rPr>
          <w:rFonts w:ascii="Times New Roman" w:cs="Times New Roman" w:eastAsia="Times New Roman" w:hAnsi="Times New Roman"/>
          <w:sz w:val="16"/>
          <w:szCs w:val="16"/>
          <w:color w:val="auto"/>
        </w:rPr>
      </w:pPr>
    </w:p>
    <w:p>
      <w:pPr>
        <w:jc w:val="both"/>
        <w:ind w:left="2" w:hanging="2"/>
        <w:spacing w:after="0" w:line="251" w:lineRule="auto"/>
        <w:tabs>
          <w:tab w:leader="none" w:pos="20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Erroneously Awarded Compensation</w:t>
      </w:r>
      <w:r>
        <w:rPr>
          <w:rFonts w:ascii="Times New Roman" w:cs="Times New Roman" w:eastAsia="Times New Roman" w:hAnsi="Times New Roman"/>
          <w:sz w:val="16"/>
          <w:szCs w:val="16"/>
          <w:color w:val="auto"/>
        </w:rPr>
        <w:t>” shall mean, with respect to any current or former Executive Officer in connection with any Accounting Restatement, the amount of Clawback Eligible Incentive Compensation Received by such current or former Executive Officer that exceeds the amount of Clawback Eligible Incentive Compensation that otherwise would have been Received by such current or former Executive Officer had such Clawback Eligible Incentive Compensation been determined based on the restated amounts as reflected in connection with such Accounting Restatement, taking into account any discretion that the Committee had applied to determine the amount of Clawback Eligible Incentive Compensation originally Received and computed without regard to any taxes paid.</w:t>
      </w:r>
    </w:p>
    <w:p>
      <w:pPr>
        <w:spacing w:after="0" w:line="166" w:lineRule="exact"/>
        <w:rPr>
          <w:rFonts w:ascii="Times New Roman" w:cs="Times New Roman" w:eastAsia="Times New Roman" w:hAnsi="Times New Roman"/>
          <w:sz w:val="16"/>
          <w:szCs w:val="16"/>
          <w:color w:val="auto"/>
        </w:rPr>
      </w:pPr>
    </w:p>
    <w:p>
      <w:pPr>
        <w:ind w:left="182" w:hanging="182"/>
        <w:spacing w:after="0"/>
        <w:tabs>
          <w:tab w:leader="none" w:pos="18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w:t>
      </w:r>
    </w:p>
    <w:p>
      <w:pPr>
        <w:spacing w:after="0" w:line="192" w:lineRule="exact"/>
        <w:rPr>
          <w:rFonts w:ascii="Times New Roman" w:cs="Times New Roman" w:eastAsia="Times New Roman" w:hAnsi="Times New Roman"/>
          <w:sz w:val="16"/>
          <w:szCs w:val="16"/>
          <w:color w:val="auto"/>
        </w:rPr>
      </w:pPr>
    </w:p>
    <w:p>
      <w:pPr>
        <w:ind w:left="222" w:hanging="222"/>
        <w:spacing w:after="0"/>
        <w:tabs>
          <w:tab w:leader="none" w:pos="22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Executive Officer</w:t>
      </w:r>
      <w:r>
        <w:rPr>
          <w:rFonts w:ascii="Times New Roman" w:cs="Times New Roman" w:eastAsia="Times New Roman" w:hAnsi="Times New Roman"/>
          <w:sz w:val="16"/>
          <w:szCs w:val="16"/>
          <w:color w:val="auto"/>
        </w:rPr>
        <w:t>” shall mean any officer as defined in Rule 10D-1(d) (or any successor provision thereof) under the Exchange Act.</w:t>
      </w:r>
    </w:p>
    <w:p>
      <w:pPr>
        <w:spacing w:after="0" w:line="192" w:lineRule="exact"/>
        <w:rPr>
          <w:rFonts w:ascii="Times New Roman" w:cs="Times New Roman" w:eastAsia="Times New Roman" w:hAnsi="Times New Roman"/>
          <w:sz w:val="16"/>
          <w:szCs w:val="16"/>
          <w:color w:val="auto"/>
        </w:rPr>
      </w:pPr>
    </w:p>
    <w:p>
      <w:pPr>
        <w:jc w:val="both"/>
        <w:ind w:left="2" w:hanging="2"/>
        <w:spacing w:after="0" w:line="253" w:lineRule="auto"/>
        <w:tabs>
          <w:tab w:leader="none" w:pos="18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Financial Reporting Measures</w:t>
      </w:r>
      <w:r>
        <w:rPr>
          <w:rFonts w:ascii="Times New Roman" w:cs="Times New Roman" w:eastAsia="Times New Roman" w:hAnsi="Times New Roman"/>
          <w:sz w:val="16"/>
          <w:szCs w:val="16"/>
          <w:color w:val="auto"/>
        </w:rPr>
        <w:t>” shall mean measures that are determined and presented in accordance with the accounting principles used in preparing the Company’s financial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Reporting Measures. For the avoidance of doubt, a Financial Reporting Measure need not be presented within the Company’s financial statements or included in a filing with the SEC.</w:t>
      </w:r>
    </w:p>
    <w:p>
      <w:pPr>
        <w:spacing w:after="0" w:line="164" w:lineRule="exact"/>
        <w:rPr>
          <w:sz w:val="20"/>
          <w:szCs w:val="20"/>
          <w:color w:val="auto"/>
        </w:rPr>
      </w:pPr>
    </w:p>
    <w:p>
      <w:pPr>
        <w:jc w:val="center"/>
        <w:ind w:right="558"/>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13335</wp:posOffset>
            </wp:positionV>
            <wp:extent cx="715010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702"/>
          </w:cols>
          <w:pgMar w:left="878" w:top="617" w:right="319" w:bottom="1440" w:gutter="0" w:footer="0" w:header="0"/>
        </w:sectPr>
      </w:pPr>
    </w:p>
    <w:bookmarkStart w:id="106" w:name="page107"/>
    <w:bookmarkEnd w:id="106"/>
    <w:p>
      <w:pPr>
        <w:ind w:left="566" w:right="20" w:hanging="2"/>
        <w:spacing w:after="0" w:line="270" w:lineRule="auto"/>
        <w:tabs>
          <w:tab w:leader="none" w:pos="83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Incentive-Based Compensation</w:t>
      </w:r>
      <w:r>
        <w:rPr>
          <w:rFonts w:ascii="Times New Roman" w:cs="Times New Roman" w:eastAsia="Times New Roman" w:hAnsi="Times New Roman"/>
          <w:sz w:val="16"/>
          <w:szCs w:val="16"/>
          <w:color w:val="auto"/>
        </w:rPr>
        <w:t>” shall mean any compensation that is granted, earned or vested based wholly or in part upon the attainment of a Financial Reporting Measure.</w:t>
      </w:r>
    </w:p>
    <w:p>
      <w:pPr>
        <w:spacing w:after="0" w:line="150" w:lineRule="exact"/>
        <w:rPr>
          <w:rFonts w:ascii="Times New Roman" w:cs="Times New Roman" w:eastAsia="Times New Roman" w:hAnsi="Times New Roman"/>
          <w:sz w:val="16"/>
          <w:szCs w:val="16"/>
          <w:color w:val="auto"/>
        </w:rPr>
      </w:pPr>
    </w:p>
    <w:p>
      <w:pPr>
        <w:ind w:left="786" w:hanging="222"/>
        <w:spacing w:after="0"/>
        <w:tabs>
          <w:tab w:leader="none" w:pos="786"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shall mean the Nasdaq Stock Market.</w:t>
      </w:r>
    </w:p>
    <w:p>
      <w:pPr>
        <w:spacing w:after="0" w:line="192" w:lineRule="exact"/>
        <w:rPr>
          <w:rFonts w:ascii="Times New Roman" w:cs="Times New Roman" w:eastAsia="Times New Roman" w:hAnsi="Times New Roman"/>
          <w:sz w:val="16"/>
          <w:szCs w:val="16"/>
          <w:color w:val="auto"/>
        </w:rPr>
      </w:pPr>
    </w:p>
    <w:p>
      <w:pPr>
        <w:ind w:left="786" w:hanging="222"/>
        <w:spacing w:after="0"/>
        <w:tabs>
          <w:tab w:leader="none" w:pos="786"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Nasdaq Effective Date</w:t>
      </w:r>
      <w:r>
        <w:rPr>
          <w:rFonts w:ascii="Times New Roman" w:cs="Times New Roman" w:eastAsia="Times New Roman" w:hAnsi="Times New Roman"/>
          <w:sz w:val="16"/>
          <w:szCs w:val="16"/>
          <w:color w:val="auto"/>
        </w:rPr>
        <w:t>” shall mean October 2, 2023 (which is the effective date of the final Nasdaq listing standards).</w:t>
      </w:r>
    </w:p>
    <w:p>
      <w:pPr>
        <w:spacing w:after="0" w:line="192" w:lineRule="exact"/>
        <w:rPr>
          <w:rFonts w:ascii="Times New Roman" w:cs="Times New Roman" w:eastAsia="Times New Roman" w:hAnsi="Times New Roman"/>
          <w:sz w:val="16"/>
          <w:szCs w:val="16"/>
          <w:color w:val="auto"/>
        </w:rPr>
      </w:pPr>
    </w:p>
    <w:p>
      <w:pPr>
        <w:jc w:val="both"/>
        <w:ind w:left="566" w:hanging="2"/>
        <w:spacing w:after="0" w:line="258" w:lineRule="auto"/>
        <w:tabs>
          <w:tab w:leader="none" w:pos="788"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Received</w:t>
      </w:r>
      <w:r>
        <w:rPr>
          <w:rFonts w:ascii="Times New Roman" w:cs="Times New Roman" w:eastAsia="Times New Roman" w:hAnsi="Times New Roman"/>
          <w:sz w:val="16"/>
          <w:szCs w:val="16"/>
          <w:color w:val="auto"/>
        </w:rPr>
        <w:t>” shall mean when Incentive-Based Compensation is received,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58" w:lineRule="exact"/>
        <w:rPr>
          <w:rFonts w:ascii="Times New Roman" w:cs="Times New Roman" w:eastAsia="Times New Roman" w:hAnsi="Times New Roman"/>
          <w:sz w:val="16"/>
          <w:szCs w:val="16"/>
          <w:color w:val="auto"/>
        </w:rPr>
      </w:pPr>
    </w:p>
    <w:p>
      <w:pPr>
        <w:jc w:val="both"/>
        <w:ind w:left="566" w:hanging="2"/>
        <w:spacing w:after="0" w:line="258" w:lineRule="auto"/>
        <w:tabs>
          <w:tab w:leader="none" w:pos="788"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Restatement Date</w:t>
      </w:r>
      <w:r>
        <w:rPr>
          <w:rFonts w:ascii="Times New Roman" w:cs="Times New Roman" w:eastAsia="Times New Roman" w:hAnsi="Times New Roman"/>
          <w:sz w:val="16"/>
          <w:szCs w:val="16"/>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58" w:lineRule="exact"/>
        <w:rPr>
          <w:rFonts w:ascii="Times New Roman" w:cs="Times New Roman" w:eastAsia="Times New Roman" w:hAnsi="Times New Roman"/>
          <w:sz w:val="16"/>
          <w:szCs w:val="16"/>
          <w:color w:val="auto"/>
        </w:rPr>
      </w:pPr>
    </w:p>
    <w:p>
      <w:pPr>
        <w:ind w:left="766" w:hanging="202"/>
        <w:spacing w:after="0"/>
        <w:tabs>
          <w:tab w:leader="none" w:pos="766"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shall mean the U.S. Securities and Exchange Commission.</w:t>
      </w:r>
    </w:p>
    <w:p>
      <w:pPr>
        <w:spacing w:after="0" w:line="190"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Recovery of Erroneously Awarded Compensation.</w:t>
      </w:r>
    </w:p>
    <w:p>
      <w:pPr>
        <w:spacing w:after="0" w:line="194" w:lineRule="exact"/>
        <w:rPr>
          <w:rFonts w:ascii="Times New Roman" w:cs="Times New Roman" w:eastAsia="Times New Roman" w:hAnsi="Times New Roman"/>
          <w:sz w:val="16"/>
          <w:szCs w:val="16"/>
          <w:b w:val="1"/>
          <w:bCs w:val="1"/>
          <w:color w:val="auto"/>
        </w:rPr>
      </w:pPr>
    </w:p>
    <w:p>
      <w:pPr>
        <w:jc w:val="both"/>
        <w:ind w:left="566" w:hanging="2"/>
        <w:spacing w:after="0" w:line="251" w:lineRule="auto"/>
        <w:tabs>
          <w:tab w:leader="none" w:pos="807"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Company is required to prepare an Accounting Restatement, (i) the Committee shall determine the amount of any Erroneously Awarded Compensation for each applicable current or former Executive Officer (whether or not such individual is serving as an Executive Officer at such time) (the “</w:t>
      </w:r>
      <w:r>
        <w:rPr>
          <w:rFonts w:ascii="Times New Roman" w:cs="Times New Roman" w:eastAsia="Times New Roman" w:hAnsi="Times New Roman"/>
          <w:sz w:val="16"/>
          <w:szCs w:val="16"/>
          <w:u w:val="single" w:color="auto"/>
          <w:color w:val="auto"/>
        </w:rPr>
        <w:t>Applicable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Executives</w:t>
      </w:r>
      <w:r>
        <w:rPr>
          <w:rFonts w:ascii="Times New Roman" w:cs="Times New Roman" w:eastAsia="Times New Roman" w:hAnsi="Times New Roman"/>
          <w:sz w:val="16"/>
          <w:szCs w:val="16"/>
          <w:color w:val="auto"/>
        </w:rPr>
        <w:t>”) in connection with such Accounting Restatement, and (ii) the Company will reasonably promptly require the recovery of such Erroneously Awarded Compensation from any such Applicable Executive, and any such Applicable Executive shall surrender such Erroneously Awarded Compensation to the Company, at such time(s), and via such method(s), as determined by the Committee in accordance with the terms of this Policy.</w:t>
      </w:r>
    </w:p>
    <w:p>
      <w:pPr>
        <w:spacing w:after="0" w:line="166" w:lineRule="exact"/>
        <w:rPr>
          <w:rFonts w:ascii="Times New Roman" w:cs="Times New Roman" w:eastAsia="Times New Roman" w:hAnsi="Times New Roman"/>
          <w:sz w:val="16"/>
          <w:szCs w:val="16"/>
          <w:color w:val="auto"/>
        </w:rPr>
      </w:pPr>
    </w:p>
    <w:p>
      <w:pPr>
        <w:jc w:val="both"/>
        <w:ind w:left="566" w:hanging="2"/>
        <w:spacing w:after="0" w:line="276" w:lineRule="auto"/>
        <w:tabs>
          <w:tab w:leader="none" w:pos="791" w:val="left"/>
        </w:tabs>
        <w:numPr>
          <w:ilvl w:val="1"/>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Incentive-Based Compensation based on (or 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Nasdaq.</w:t>
      </w:r>
    </w:p>
    <w:p>
      <w:pPr>
        <w:spacing w:after="0" w:line="14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17" w:right="319" w:bottom="1440" w:gutter="0" w:footer="0" w:header="0"/>
        </w:sectPr>
      </w:pPr>
    </w:p>
    <w:bookmarkStart w:id="107" w:name="page108"/>
    <w:bookmarkEnd w:id="107"/>
    <w:p>
      <w:pPr>
        <w:ind w:left="2" w:right="20" w:hanging="2"/>
        <w:spacing w:after="0" w:line="270" w:lineRule="auto"/>
        <w:tabs>
          <w:tab w:leader="none" w:pos="22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shall determine, in its sole discretion, the method(s) for recovering any Erroneously Awarded Compensation from any Applicable Executive, which may include one or more of the following:</w:t>
      </w:r>
    </w:p>
    <w:p>
      <w:pPr>
        <w:spacing w:after="0" w:line="150" w:lineRule="exact"/>
        <w:rPr>
          <w:rFonts w:ascii="Times New Roman" w:cs="Times New Roman" w:eastAsia="Times New Roman" w:hAnsi="Times New Roman"/>
          <w:sz w:val="16"/>
          <w:szCs w:val="16"/>
          <w:color w:val="auto"/>
        </w:rPr>
      </w:pPr>
    </w:p>
    <w:p>
      <w:pPr>
        <w:ind w:left="562" w:right="20" w:firstLine="2"/>
        <w:spacing w:after="0" w:line="270" w:lineRule="auto"/>
        <w:tabs>
          <w:tab w:leader="none" w:pos="753"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one or more cash payments to the Company Group from such Applicable Executive, including, but not limited to, the repayment of cash Incentive-Based Compensation previously paid by the Company Group to such Applicable Executive;</w:t>
      </w:r>
    </w:p>
    <w:p>
      <w:pPr>
        <w:spacing w:after="0" w:line="150" w:lineRule="exact"/>
        <w:rPr>
          <w:rFonts w:ascii="Times New Roman" w:cs="Times New Roman" w:eastAsia="Times New Roman" w:hAnsi="Times New Roman"/>
          <w:sz w:val="16"/>
          <w:szCs w:val="16"/>
          <w:color w:val="auto"/>
        </w:rPr>
      </w:pPr>
    </w:p>
    <w:p>
      <w:pPr>
        <w:jc w:val="both"/>
        <w:ind w:left="562" w:firstLine="2"/>
        <w:spacing w:after="0" w:line="258" w:lineRule="auto"/>
        <w:tabs>
          <w:tab w:leader="none" w:pos="799"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recovery of any gain realized on the vesting, exercise, settlement, sale, transfer or other disposition of any equity-based awards previously made by the Company to such Applicable Executive and/or, subject to applicable legal requirements, otherwise requiring the delivery to the Company of shares of Common Stock held by such Applicable Executive;</w:t>
      </w:r>
    </w:p>
    <w:p>
      <w:pPr>
        <w:spacing w:after="0" w:line="158" w:lineRule="exact"/>
        <w:rPr>
          <w:rFonts w:ascii="Times New Roman" w:cs="Times New Roman" w:eastAsia="Times New Roman" w:hAnsi="Times New Roman"/>
          <w:sz w:val="16"/>
          <w:szCs w:val="16"/>
          <w:color w:val="auto"/>
        </w:rPr>
      </w:pPr>
    </w:p>
    <w:p>
      <w:pPr>
        <w:ind w:left="562" w:firstLine="2"/>
        <w:spacing w:after="0" w:line="270" w:lineRule="auto"/>
        <w:tabs>
          <w:tab w:leader="none" w:pos="845"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withholding, reducing or eliminating future cash compensation (including cash incentive payments), future equity awards and/or other benefits or amounts otherwise to be paid or awarded by the Company Group to such Applicable Executive;</w:t>
      </w:r>
    </w:p>
    <w:p>
      <w:pPr>
        <w:spacing w:after="0" w:line="150" w:lineRule="exact"/>
        <w:rPr>
          <w:rFonts w:ascii="Times New Roman" w:cs="Times New Roman" w:eastAsia="Times New Roman" w:hAnsi="Times New Roman"/>
          <w:sz w:val="16"/>
          <w:szCs w:val="16"/>
          <w:color w:val="auto"/>
        </w:rPr>
      </w:pPr>
    </w:p>
    <w:p>
      <w:pPr>
        <w:ind w:left="822" w:hanging="258"/>
        <w:spacing w:after="0"/>
        <w:tabs>
          <w:tab w:leader="none" w:pos="822"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offsetting amounts against compensation or other amounts otherwise payable by the Company Group to any Applicable Executive;</w:t>
      </w:r>
    </w:p>
    <w:p>
      <w:pPr>
        <w:spacing w:after="0" w:line="192" w:lineRule="exact"/>
        <w:rPr>
          <w:rFonts w:ascii="Times New Roman" w:cs="Times New Roman" w:eastAsia="Times New Roman" w:hAnsi="Times New Roman"/>
          <w:sz w:val="16"/>
          <w:szCs w:val="16"/>
          <w:color w:val="auto"/>
        </w:rPr>
      </w:pPr>
    </w:p>
    <w:p>
      <w:pPr>
        <w:ind w:left="562" w:right="20" w:firstLine="2"/>
        <w:spacing w:after="0" w:line="270" w:lineRule="auto"/>
        <w:tabs>
          <w:tab w:leader="none" w:pos="801"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cancelling, adjusting or offsetting against some or all outstanding vested or unvested equity awards of the Company held by such Applicable Executive; and/or</w:t>
      </w:r>
    </w:p>
    <w:p>
      <w:pPr>
        <w:spacing w:after="0" w:line="150" w:lineRule="exact"/>
        <w:rPr>
          <w:rFonts w:ascii="Times New Roman" w:cs="Times New Roman" w:eastAsia="Times New Roman" w:hAnsi="Times New Roman"/>
          <w:sz w:val="16"/>
          <w:szCs w:val="16"/>
          <w:color w:val="auto"/>
        </w:rPr>
      </w:pPr>
    </w:p>
    <w:p>
      <w:pPr>
        <w:ind w:left="562" w:right="20" w:firstLine="2"/>
        <w:spacing w:after="0" w:line="270" w:lineRule="auto"/>
        <w:tabs>
          <w:tab w:leader="none" w:pos="846"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taking any other remedial and recovery actions with respect to such Applicable Executive permitted by applicable legal requirements and the rules and regulations of Nasdaq, as determined by the Committee.</w:t>
      </w:r>
    </w:p>
    <w:p>
      <w:pPr>
        <w:spacing w:after="0" w:line="150" w:lineRule="exact"/>
        <w:rPr>
          <w:rFonts w:ascii="Times New Roman" w:cs="Times New Roman" w:eastAsia="Times New Roman" w:hAnsi="Times New Roman"/>
          <w:sz w:val="16"/>
          <w:szCs w:val="16"/>
          <w:color w:val="auto"/>
        </w:rPr>
      </w:pPr>
    </w:p>
    <w:p>
      <w:pPr>
        <w:ind w:left="2" w:right="20" w:hanging="2"/>
        <w:spacing w:after="0" w:line="304" w:lineRule="auto"/>
        <w:tabs>
          <w:tab w:leader="none" w:pos="234"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herein to the contrary, the Company shall not be required to recover Erroneously Awarded Compensation from any Applicable Executive pursuant to the terms of this Policy if both (1) the Committee determines that such recovery would be impracticable, and (2) any of the following conditions is met:</w:t>
      </w:r>
    </w:p>
    <w:p>
      <w:pPr>
        <w:spacing w:after="0" w:line="127" w:lineRule="exact"/>
        <w:rPr>
          <w:rFonts w:ascii="Times New Roman" w:cs="Times New Roman" w:eastAsia="Times New Roman" w:hAnsi="Times New Roman"/>
          <w:sz w:val="15"/>
          <w:szCs w:val="15"/>
          <w:color w:val="auto"/>
        </w:rPr>
      </w:pPr>
    </w:p>
    <w:p>
      <w:pPr>
        <w:jc w:val="both"/>
        <w:ind w:left="562" w:firstLine="2"/>
        <w:spacing w:after="0" w:line="253" w:lineRule="auto"/>
        <w:tabs>
          <w:tab w:leader="none" w:pos="76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expenses paid to a third party to assist in enforcing the Policy would exceed the amount to be recovered, provided that, before concluding that it would be impracticable to recover any amount of Erroneously Awarded Compensation based on expense of enforcement pursuant to this clause (i), the Company has (x) made a reasonable attempt to recover such Erroneously Awarded Compensation, (y) documented such reasonable attempt(s) to recover, and (z) provided such documentation to Nasdaq;</w:t>
      </w:r>
    </w:p>
    <w:p>
      <w:pPr>
        <w:spacing w:after="0" w:line="164" w:lineRule="exact"/>
        <w:rPr>
          <w:rFonts w:ascii="Times New Roman" w:cs="Times New Roman" w:eastAsia="Times New Roman" w:hAnsi="Times New Roman"/>
          <w:sz w:val="16"/>
          <w:szCs w:val="16"/>
          <w:color w:val="auto"/>
        </w:rPr>
      </w:pPr>
    </w:p>
    <w:p>
      <w:pPr>
        <w:jc w:val="both"/>
        <w:ind w:left="562" w:right="20" w:firstLine="2"/>
        <w:spacing w:after="0" w:line="258" w:lineRule="auto"/>
        <w:tabs>
          <w:tab w:leader="none" w:pos="813"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has provided copy of the opinion is provided to Nasdaq; or</w:t>
      </w:r>
    </w:p>
    <w:p>
      <w:pPr>
        <w:spacing w:after="0" w:line="159" w:lineRule="exact"/>
        <w:rPr>
          <w:sz w:val="20"/>
          <w:szCs w:val="20"/>
          <w:color w:val="auto"/>
        </w:rPr>
      </w:pPr>
    </w:p>
    <w:p>
      <w:pPr>
        <w:jc w:val="center"/>
        <w:ind w:right="558"/>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13335</wp:posOffset>
            </wp:positionV>
            <wp:extent cx="715010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702"/>
          </w:cols>
          <w:pgMar w:left="878" w:top="616" w:right="319" w:bottom="1440" w:gutter="0" w:footer="0" w:header="0"/>
        </w:sectPr>
      </w:pPr>
    </w:p>
    <w:bookmarkStart w:id="108" w:name="page109"/>
    <w:bookmarkEnd w:id="108"/>
    <w:p>
      <w:pPr>
        <w:ind w:left="1126" w:right="20" w:firstLine="2"/>
        <w:spacing w:after="0" w:line="270" w:lineRule="auto"/>
        <w:tabs>
          <w:tab w:leader="none" w:pos="1405" w:val="left"/>
        </w:tabs>
        <w:numPr>
          <w:ilvl w:val="2"/>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48" w:lineRule="exact"/>
        <w:rPr>
          <w:rFonts w:ascii="Times New Roman" w:cs="Times New Roman" w:eastAsia="Times New Roman" w:hAnsi="Times New Roman"/>
          <w:sz w:val="16"/>
          <w:szCs w:val="16"/>
          <w:color w:val="auto"/>
        </w:rPr>
      </w:pPr>
    </w:p>
    <w:p>
      <w:pPr>
        <w:jc w:val="both"/>
        <w:ind w:left="6" w:right="20" w:hanging="6"/>
        <w:spacing w:after="0" w:line="259" w:lineRule="auto"/>
        <w:tabs>
          <w:tab w:leader="none" w:pos="167"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 Indemnification, Etc. </w:t>
      </w:r>
      <w:r>
        <w:rPr>
          <w:rFonts w:ascii="Times New Roman" w:cs="Times New Roman" w:eastAsia="Times New Roman" w:hAnsi="Times New Roman"/>
          <w:sz w:val="16"/>
          <w:szCs w:val="16"/>
          <w:color w:val="auto"/>
        </w:rPr>
        <w:t>The Company Group shall not (x) indemnify any current or former Executive Officer against (i) the loss of any Erroneously Awarded Compensation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is repaid, returned or recovered pursuant to the terms of this Policy, or (ii) any claims relating to the Company Group’s enforcement of its rights under this Policy, or (y) pay or reimburse any current or former Executive Officers for insurance premiums to recover losses incurred under this Policy.</w:t>
      </w:r>
    </w:p>
    <w:p>
      <w:pPr>
        <w:spacing w:after="0" w:line="156" w:lineRule="exact"/>
        <w:rPr>
          <w:rFonts w:ascii="Times New Roman" w:cs="Times New Roman" w:eastAsia="Times New Roman" w:hAnsi="Times New Roman"/>
          <w:sz w:val="16"/>
          <w:szCs w:val="16"/>
          <w:b w:val="1"/>
          <w:bCs w:val="1"/>
          <w:color w:val="auto"/>
        </w:rPr>
      </w:pPr>
    </w:p>
    <w:p>
      <w:pPr>
        <w:jc w:val="both"/>
        <w:ind w:left="6" w:right="20" w:hanging="6"/>
        <w:spacing w:after="0" w:line="277" w:lineRule="auto"/>
        <w:tabs>
          <w:tab w:leader="none" w:pos="174"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Supersedure. </w:t>
      </w:r>
      <w:r>
        <w:rPr>
          <w:rFonts w:ascii="Times New Roman" w:cs="Times New Roman" w:eastAsia="Times New Roman" w:hAnsi="Times New Roman"/>
          <w:sz w:val="15"/>
          <w:szCs w:val="15"/>
          <w:color w:val="auto"/>
        </w:rPr>
        <w:t>This Policy will supersede any provisions in (x) any agreement, plan or other arrangement applicable to any member of the Company Group, and (y)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organizational documents of any entity that is part of Company Group that, in any such case, (a) exempt any Incentive-Based Compensation from the application of this Policy, (b) waive or otherwise prohibit or restricts the Company Group’s right to recover any Erroneously Awarded Compensation, including, without limitation, in connection with exercising any right of setoff as provided herein, and/or (c) require or provide for indemnification to the extent that such indemnification is prohibited under </w:t>
      </w:r>
      <w:r>
        <w:rPr>
          <w:rFonts w:ascii="Times New Roman" w:cs="Times New Roman" w:eastAsia="Times New Roman" w:hAnsi="Times New Roman"/>
          <w:sz w:val="15"/>
          <w:szCs w:val="15"/>
          <w:u w:val="single" w:color="auto"/>
          <w:color w:val="auto"/>
        </w:rPr>
        <w:t>Section 5</w:t>
      </w:r>
      <w:r>
        <w:rPr>
          <w:rFonts w:ascii="Times New Roman" w:cs="Times New Roman" w:eastAsia="Times New Roman" w:hAnsi="Times New Roman"/>
          <w:sz w:val="15"/>
          <w:szCs w:val="15"/>
          <w:color w:val="auto"/>
        </w:rPr>
        <w:t xml:space="preserve"> above.</w:t>
      </w:r>
    </w:p>
    <w:p>
      <w:pPr>
        <w:spacing w:after="0" w:line="143" w:lineRule="exact"/>
        <w:rPr>
          <w:rFonts w:ascii="Times New Roman" w:cs="Times New Roman" w:eastAsia="Times New Roman" w:hAnsi="Times New Roman"/>
          <w:sz w:val="15"/>
          <w:szCs w:val="15"/>
          <w:b w:val="1"/>
          <w:bCs w:val="1"/>
          <w:color w:val="auto"/>
        </w:rPr>
      </w:pPr>
    </w:p>
    <w:p>
      <w:pPr>
        <w:jc w:val="both"/>
        <w:ind w:left="6" w:right="20" w:hanging="6"/>
        <w:spacing w:after="0" w:line="252" w:lineRule="auto"/>
        <w:tabs>
          <w:tab w:leader="none" w:pos="158"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Amendment; Termination; Interpretation. </w:t>
      </w:r>
      <w:r>
        <w:rPr>
          <w:rFonts w:ascii="Times New Roman" w:cs="Times New Roman" w:eastAsia="Times New Roman" w:hAnsi="Times New Roman"/>
          <w:sz w:val="16"/>
          <w:szCs w:val="16"/>
          <w:color w:val="auto"/>
        </w:rPr>
        <w:t>The Committee may amend or terminate this Policy at any time, subject to compliance with all applicable legal requirements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rules and requirements of Nasdaq. It is intended that this Policy be interpreted in a manner that is consistent with the SEC/Nasdaq Clawback Rules. This Policy is separate from, and in addition to, any other compensation recovery or recoupment policy of the Company or any applicable provisions of plans, agreements, awards or other arrangements of the Company that provide for the recoupment or recovery of compensation from Executive Officers that is voluntarily adopted by the Company and intended to provide for discretionary recoupment beyond the scope of this Policy and the SEC/Nasdaq Clawback Rules.</w:t>
      </w:r>
    </w:p>
    <w:p>
      <w:pPr>
        <w:spacing w:after="0" w:line="162" w:lineRule="exact"/>
        <w:rPr>
          <w:rFonts w:ascii="Times New Roman" w:cs="Times New Roman" w:eastAsia="Times New Roman" w:hAnsi="Times New Roman"/>
          <w:sz w:val="16"/>
          <w:szCs w:val="16"/>
          <w:b w:val="1"/>
          <w:bCs w:val="1"/>
          <w:color w:val="auto"/>
        </w:rPr>
      </w:pPr>
    </w:p>
    <w:p>
      <w:pPr>
        <w:ind w:left="166" w:hanging="166"/>
        <w:spacing w:after="0"/>
        <w:tabs>
          <w:tab w:leader="none" w:pos="166"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Recoupment Rights; No Additional Payments.</w:t>
      </w:r>
    </w:p>
    <w:p>
      <w:pPr>
        <w:spacing w:after="0" w:line="194" w:lineRule="exact"/>
        <w:rPr>
          <w:rFonts w:ascii="Times New Roman" w:cs="Times New Roman" w:eastAsia="Times New Roman" w:hAnsi="Times New Roman"/>
          <w:sz w:val="16"/>
          <w:szCs w:val="16"/>
          <w:b w:val="1"/>
          <w:bCs w:val="1"/>
          <w:color w:val="auto"/>
        </w:rPr>
      </w:pPr>
    </w:p>
    <w:p>
      <w:pPr>
        <w:jc w:val="both"/>
        <w:ind w:left="566" w:hanging="2"/>
        <w:spacing w:after="0" w:line="253" w:lineRule="auto"/>
        <w:tabs>
          <w:tab w:leader="none" w:pos="779"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8(b)</w:t>
      </w:r>
      <w:r>
        <w:rPr>
          <w:rFonts w:ascii="Times New Roman" w:cs="Times New Roman" w:eastAsia="Times New Roman" w:hAnsi="Times New Roman"/>
          <w:sz w:val="16"/>
          <w:szCs w:val="16"/>
          <w:color w:val="auto"/>
        </w:rPr>
        <w:t xml:space="preserve"> of this Policy below, any right of recoupment under this Policy is in addition to, and not in lieu of, any other remedies or rights of recoupment that may be available to the Company Group pursuant to (i) the terms of any recoupment provisions in any employment agreement, incentive or equity compensation plan or award or other agreement, (ii) any other legal requirements, including, but not limited to, Section 304 of Sarbanes-Oxley Act of 2002, and (iii) any other legal rights or remedies available to the Company.</w:t>
      </w:r>
    </w:p>
    <w:p>
      <w:pPr>
        <w:spacing w:after="0" w:line="164" w:lineRule="exact"/>
        <w:rPr>
          <w:rFonts w:ascii="Times New Roman" w:cs="Times New Roman" w:eastAsia="Times New Roman" w:hAnsi="Times New Roman"/>
          <w:sz w:val="16"/>
          <w:szCs w:val="16"/>
          <w:color w:val="auto"/>
        </w:rPr>
      </w:pPr>
    </w:p>
    <w:p>
      <w:pPr>
        <w:ind w:left="786" w:hanging="222"/>
        <w:spacing w:after="0"/>
        <w:tabs>
          <w:tab w:leader="none" w:pos="786"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to prevent duplicative recovery:</w:t>
      </w:r>
    </w:p>
    <w:p>
      <w:pPr>
        <w:spacing w:after="0" w:line="192" w:lineRule="exact"/>
        <w:rPr>
          <w:rFonts w:ascii="Times New Roman" w:cs="Times New Roman" w:eastAsia="Times New Roman" w:hAnsi="Times New Roman"/>
          <w:sz w:val="16"/>
          <w:szCs w:val="16"/>
          <w:color w:val="auto"/>
        </w:rPr>
      </w:pPr>
    </w:p>
    <w:p>
      <w:pPr>
        <w:jc w:val="both"/>
        <w:ind w:left="1126" w:firstLine="2"/>
        <w:spacing w:after="0" w:line="253" w:lineRule="auto"/>
        <w:tabs>
          <w:tab w:leader="none" w:pos="1324" w:val="left"/>
        </w:tabs>
        <w:numPr>
          <w:ilvl w:val="2"/>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the amount of any Erroneously Awarded Compensation is recovered from any current or former Executive Officers under this Policy, the Company will not be entitled to recover any such amounts under any other compensation recovery or recoupment policy of the Company or any applicable provisions of plans, agreements, awards or other arrangements of the Company that provide for the recoupment or recovery of compensation from Executive Officers; and</w:t>
      </w:r>
    </w:p>
    <w:p>
      <w:pPr>
        <w:spacing w:after="0" w:line="164" w:lineRule="exact"/>
        <w:rPr>
          <w:sz w:val="20"/>
          <w:szCs w:val="20"/>
          <w:color w:val="auto"/>
        </w:rPr>
      </w:pPr>
    </w:p>
    <w:p>
      <w:pPr>
        <w:jc w:val="both"/>
        <w:ind w:left="1126" w:firstLine="2"/>
        <w:spacing w:after="0" w:line="253" w:lineRule="auto"/>
        <w:tabs>
          <w:tab w:leader="none" w:pos="1381"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any Erroneously Awarded Compensation includes any amounts that have been actually reimbursed to the Company Group from any Applicable Executive pursuant to Section 304 of the Sarbanes-Oxley Act (any such amounts that have been reimbursed to the Company Group, the “</w:t>
      </w:r>
      <w:r>
        <w:rPr>
          <w:rFonts w:ascii="Times New Roman" w:cs="Times New Roman" w:eastAsia="Times New Roman" w:hAnsi="Times New Roman"/>
          <w:sz w:val="16"/>
          <w:szCs w:val="16"/>
          <w:u w:val="single" w:color="auto"/>
          <w:color w:val="auto"/>
        </w:rPr>
        <w:t>Applicable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SOX Recoupment Amount</w:t>
      </w:r>
      <w:r>
        <w:rPr>
          <w:rFonts w:ascii="Times New Roman" w:cs="Times New Roman" w:eastAsia="Times New Roman" w:hAnsi="Times New Roman"/>
          <w:sz w:val="16"/>
          <w:szCs w:val="16"/>
          <w:color w:val="auto"/>
        </w:rPr>
        <w:t>”), the amount of any Erroneously Awarded Compensation to be recovered from any such Applicable Executive shall be reduced by the Applicable SOX Recoupment Amount.</w:t>
      </w:r>
    </w:p>
    <w:p>
      <w:pPr>
        <w:spacing w:after="0" w:line="162" w:lineRule="exact"/>
        <w:rPr>
          <w:rFonts w:ascii="Times New Roman" w:cs="Times New Roman" w:eastAsia="Times New Roman" w:hAnsi="Times New Roman"/>
          <w:sz w:val="16"/>
          <w:szCs w:val="16"/>
          <w:color w:val="auto"/>
        </w:rPr>
      </w:pPr>
    </w:p>
    <w:p>
      <w:pPr>
        <w:ind w:left="6" w:hanging="6"/>
        <w:spacing w:after="0" w:line="273" w:lineRule="auto"/>
        <w:tabs>
          <w:tab w:leader="none" w:pos="163"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Successors. </w:t>
      </w:r>
      <w:r>
        <w:rPr>
          <w:rFonts w:ascii="Times New Roman" w:cs="Times New Roman" w:eastAsia="Times New Roman" w:hAnsi="Times New Roman"/>
          <w:sz w:val="16"/>
          <w:szCs w:val="16"/>
          <w:color w:val="auto"/>
        </w:rPr>
        <w:t>This Policy shall be binding and enforceable against all current and former Executive Officers and their beneficiaries, heirs, executors, administrators or other 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representatives.</w:t>
      </w:r>
    </w:p>
    <w:p>
      <w:pPr>
        <w:spacing w:after="0" w:line="1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17"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Acknowledgement</w:t>
      </w:r>
    </w:p>
    <w:p>
      <w:pPr>
        <w:spacing w:after="0" w:line="194"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By signing below, the undersigned acknowledges and confirms that the undersigned has received and reviewed a copy of the Snail, Inc. Compensation Recovery Policy (such policy, as amended from time to time, the “Policy”). Capitalized terms used but not otherwise defined in this acknowledgement shall have the meanings ascribed to such terms in the Policy.</w:t>
      </w:r>
    </w:p>
    <w:p>
      <w:pPr>
        <w:spacing w:after="0" w:line="159"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By signing this acknowledgement,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returning any Erroneously Awarded Compensation to the Company group to the extent required by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5010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5010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5010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sectPr>
      <w:pgSz w:w="11900" w:h="16838" w:orient="portrait"/>
      <w:cols w:equalWidth="0" w:num="1">
        <w:col w:w="11260"/>
      </w:cols>
      <w:pgMar w:left="320" w:top="6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decimal"/>
      <w:start w:val="5"/>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decimal"/>
      <w:start w:val="5"/>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
    <w:nsid w:val="5E884ADC"/>
    <w:multiLevelType w:val="hybridMultilevel"/>
    <w:lvl w:ilvl="0">
      <w:lvlJc w:val="left"/>
      <w:lvlText w:val="%1"/>
      <w:numFmt w:val="lowerLetter"/>
      <w:start w:val="1"/>
    </w:lvl>
    <w:lvl w:ilvl="1">
      <w:lvlJc w:val="left"/>
      <w:lvlText w:val="(%2)"/>
      <w:numFmt w:val="lowerRoman"/>
      <w:start w:val="3"/>
    </w:lvl>
  </w:abstractNum>
  <w:abstractNum w:abstractNumId="35">
    <w:nsid w:val="51EAD36B"/>
    <w:multiLevelType w:val="hybridMultilevel"/>
    <w:lvl w:ilvl="0">
      <w:lvlJc w:val="left"/>
      <w:lvlText w:val="(%1)"/>
      <w:numFmt w:val="lowerLetter"/>
      <w:start w:val="4"/>
    </w:lvl>
    <w:lvl w:ilvl="1">
      <w:lvlJc w:val="left"/>
      <w:lvlText w:val="%2"/>
      <w:numFmt w:val="lowerRoman"/>
      <w:start w:val="1"/>
    </w:lvl>
  </w:abstractNum>
  <w:abstractNum w:abstractNumId="36">
    <w:nsid w:val="2D517796"/>
    <w:multiLevelType w:val="hybridMultilevel"/>
    <w:lvl w:ilvl="0">
      <w:lvlJc w:val="left"/>
      <w:lvlText w:val="%1"/>
      <w:numFmt w:val="decimal"/>
      <w:start w:val="1"/>
    </w:lvl>
    <w:lvl w:ilvl="1">
      <w:lvlJc w:val="left"/>
      <w:lvlText w:val="(%2)"/>
      <w:numFmt w:val="lowerLetter"/>
      <w:start w:val="13"/>
    </w:lvl>
  </w:abstractNum>
  <w:abstractNum w:abstractNumId="37">
    <w:nsid w:val="580BD78F"/>
    <w:multiLevelType w:val="hybridMultilevel"/>
    <w:lvl w:ilvl="0">
      <w:lvlJc w:val="left"/>
      <w:lvlText w:val="%1."/>
      <w:numFmt w:val="decimal"/>
      <w:start w:val="4"/>
    </w:lvl>
    <w:lvl w:ilvl="1">
      <w:lvlJc w:val="left"/>
      <w:lvlText w:val="(%2)"/>
      <w:numFmt w:val="lowerLetter"/>
      <w:start w:val="1"/>
    </w:lvl>
  </w:abstractNum>
  <w:abstractNum w:abstractNumId="38">
    <w:nsid w:val="153EA438"/>
    <w:multiLevelType w:val="hybridMultilevel"/>
    <w:lvl w:ilvl="0">
      <w:lvlJc w:val="left"/>
      <w:lvlText w:val="(%1)"/>
      <w:numFmt w:val="lowerLetter"/>
      <w:start w:val="3"/>
    </w:lvl>
    <w:lvl w:ilvl="1">
      <w:lvlJc w:val="left"/>
      <w:lvlText w:val="(%2)"/>
      <w:numFmt w:val="lowerRoman"/>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0">
    <w:nsid w:val="70A64E2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1">
    <w:nsid w:val="6A2342EC"/>
    <w:multiLevelType w:val="hybridMultilevel"/>
    <w:lvl w:ilvl="0">
      <w:lvlJc w:val="left"/>
      <w:lvlText w:val="%1"/>
      <w:numFmt w:val="decimal"/>
      <w:start w:val="1"/>
    </w:lvl>
    <w:lvl w:ilvl="1">
      <w:lvlJc w:val="left"/>
      <w:lvlText w:val="(%2)"/>
      <w:numFmt w:val="lowerRoman"/>
      <w:start w:val="2"/>
    </w:lvl>
  </w:abstractNum>
  <w:abstractNum w:abstractNumId="42">
    <w:nsid w:val="2A487CB0"/>
    <w:multiLevelType w:val="hybridMultilevel"/>
    <w:lvl w:ilvl="0">
      <w:lvlJc w:val="left"/>
      <w:lvlText w:val="%1."/>
      <w:numFmt w:val="decimal"/>
      <w:start w:val="9"/>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06" Type="http://schemas.openxmlformats.org/officeDocument/2006/relationships/hyperlink" Target="https://www.sec.gov/Archives/edgar/data/1886894/000110465922118795/tm2128835d28_ex3-1.htm" TargetMode="External"/><Relationship Id="rId107" Type="http://schemas.openxmlformats.org/officeDocument/2006/relationships/hyperlink" Target="https://www.sec.gov/Archives/edgar/data/1886894/000110465922118795/tm2128835d28_ex3-2.htm" TargetMode="External"/><Relationship Id="rId108" Type="http://schemas.openxmlformats.org/officeDocument/2006/relationships/hyperlink" Target="https://www.sec.gov/Archives/edgar/data/1886894/000110465922100894/tm2128835d11_ex4-1.htm" TargetMode="External"/><Relationship Id="rId109" Type="http://schemas.openxmlformats.org/officeDocument/2006/relationships/hyperlink" Target="https://www.sec.gov/Archives/edgar/data/1886894/000110465922109030/tm2128835d14_ex4-2.htm" TargetMode="External"/><Relationship Id="rId110" Type="http://schemas.openxmlformats.org/officeDocument/2006/relationships/hyperlink" Target="https://www.sec.gov/Archives/edgar/data/1886894/000110465923038408/snal-20221231xex4d3.htm" TargetMode="External"/><Relationship Id="rId111" Type="http://schemas.openxmlformats.org/officeDocument/2006/relationships/hyperlink" Target="https://www.sec.gov/Archives/edgar/data/1886894/000149315223030672/ex4-1.htm" TargetMode="External"/><Relationship Id="rId112" Type="http://schemas.openxmlformats.org/officeDocument/2006/relationships/hyperlink" Target="https://www.sec.gov/Archives/edgar/data/1886894/000149315223030672/ex4-2.htm" TargetMode="External"/><Relationship Id="rId113" Type="http://schemas.openxmlformats.org/officeDocument/2006/relationships/hyperlink" Target="https://www.sec.gov/Archives/edgar/data/1886894/000149315223030672/ex4-3.htm" TargetMode="External"/><Relationship Id="rId114" Type="http://schemas.openxmlformats.org/officeDocument/2006/relationships/hyperlink" Target="https://www.sec.gov/Archives/edgar/data/1886894/000110465922109030/tm2128835d14_ex10-12.htm" TargetMode="External"/><Relationship Id="rId115" Type="http://schemas.openxmlformats.org/officeDocument/2006/relationships/hyperlink" Target="https://www.sec.gov/Archives/edgar/data/1886894/000110465922127433/snal-20220930xex10d2.htm" TargetMode="External"/><Relationship Id="rId116" Type="http://schemas.openxmlformats.org/officeDocument/2006/relationships/hyperlink" Target="https://www.sec.gov/Archives/edgar/data/1886894/000110465922109030/tm2128835d14_ex10-5.htm" TargetMode="External"/><Relationship Id="rId117" Type="http://schemas.openxmlformats.org/officeDocument/2006/relationships/hyperlink" Target="https://www.sec.gov/Archives/edgar/data/1886894/000110465922111604/tm2128835d17_ex10-11.htm" TargetMode="External"/><Relationship Id="rId118" Type="http://schemas.openxmlformats.org/officeDocument/2006/relationships/hyperlink" Target="https://www.sec.gov/Archives/edgar/data/1886894/000110465922109030/tm2128835d14_ex10-15.htm" TargetMode="External"/><Relationship Id="rId119" Type="http://schemas.openxmlformats.org/officeDocument/2006/relationships/hyperlink" Target="https://www.sec.gov/Archives/edgar/data/1886894/000110465922109030/tm2128835d14_ex10-16.htm" TargetMode="External"/><Relationship Id="rId120" Type="http://schemas.openxmlformats.org/officeDocument/2006/relationships/hyperlink" Target="https://www.sec.gov/Archives/edgar/data/1886894/000110465922100894/tm2128835d11_ex10-1.htm" TargetMode="External"/><Relationship Id="rId121" Type="http://schemas.openxmlformats.org/officeDocument/2006/relationships/hyperlink" Target="https://www.sec.gov/Archives/edgar/data/1886894/000110465922100894/tm2128835d11_ex10-2.htm" TargetMode="External"/><Relationship Id="rId122" Type="http://schemas.openxmlformats.org/officeDocument/2006/relationships/hyperlink" Target="https://www.sec.gov/Archives/edgar/data/1886894/000110465922100894/tm2128835d11_ex10-3.htm" TargetMode="External"/><Relationship Id="rId123" Type="http://schemas.openxmlformats.org/officeDocument/2006/relationships/hyperlink" Target="https://www.sec.gov/Archives/edgar/data/1886894/000110465922109030/tm2128835d14_ex10-13.htm" TargetMode="External"/><Relationship Id="rId124" Type="http://schemas.openxmlformats.org/officeDocument/2006/relationships/hyperlink" Target="https://www.sec.gov/Archives/edgar/data/1886894/000110465922109030/tm2128835d14_ex10-14.htm" TargetMode="External"/><Relationship Id="rId125" Type="http://schemas.openxmlformats.org/officeDocument/2006/relationships/hyperlink" Target="https://www.sec.gov/Archives/edgar/data/1886894/000110465922100894/tm2128835d11_ex10-4.htm" TargetMode="External"/><Relationship Id="rId126" Type="http://schemas.openxmlformats.org/officeDocument/2006/relationships/hyperlink" Target="https://www.sec.gov/Archives/edgar/data/1886894/000110465922100894/tm2128835d11_ex10-6.htm" TargetMode="External"/><Relationship Id="rId127" Type="http://schemas.openxmlformats.org/officeDocument/2006/relationships/hyperlink" Target="https://www.sec.gov/Archives/edgar/data/1886894/000110465922100894/tm2128835d11_ex10-7.htm" TargetMode="External"/><Relationship Id="rId128" Type="http://schemas.openxmlformats.org/officeDocument/2006/relationships/hyperlink" Target="https://www.sec.gov/Archives/edgar/data/1886894/000110465922100894/tm2128835d11_ex10-8.htm" TargetMode="External"/><Relationship Id="rId129" Type="http://schemas.openxmlformats.org/officeDocument/2006/relationships/hyperlink" Target="https://www.sec.gov/Archives/edgar/data/1886894/000110465922100894/tm2128835d11_ex10-9.htm" TargetMode="External"/><Relationship Id="rId130" Type="http://schemas.openxmlformats.org/officeDocument/2006/relationships/hyperlink" Target="https://www.sec.gov/Archives/edgar/data/1886894/000110465922100894/tm2128835d11_ex10-10.htm" TargetMode="External"/><Relationship Id="rId131" Type="http://schemas.openxmlformats.org/officeDocument/2006/relationships/hyperlink" Target="https://www.sec.gov/Archives/edgar/data/1886894/000110465923038408/snal-20221231xex10d18.htm" TargetMode="External"/><Relationship Id="rId132" Type="http://schemas.openxmlformats.org/officeDocument/2006/relationships/hyperlink" Target="https://www.sec.gov/Archives/edgar/data/1886894/000110465923038408/snal-20221231xex10d19.htm" TargetMode="External"/><Relationship Id="rId133" Type="http://schemas.openxmlformats.org/officeDocument/2006/relationships/hyperlink" Target="https://www.sec.gov/Archives/edgar/data/1886894/000149315223026297/ex10-1.htm" TargetMode="External"/><Relationship Id="rId134" Type="http://schemas.openxmlformats.org/officeDocument/2006/relationships/hyperlink" Target="https://www.sec.gov/Archives/edgar/data/1886894/000149315223030672/ex10-1.htm" TargetMode="External"/><Relationship Id="rId135" Type="http://schemas.openxmlformats.org/officeDocument/2006/relationships/hyperlink" Target="https://www.sec.gov/Archives/edgar/data/1886894/000149315223030672/ex10-2.htm" TargetMode="External"/><Relationship Id="rId136" Type="http://schemas.openxmlformats.org/officeDocument/2006/relationships/hyperlink" Target="https://www.sec.gov/Archives/edgar/data/1886894/000149315223030672/ex10-3.htm" TargetMode="External"/><Relationship Id="rId137" Type="http://schemas.openxmlformats.org/officeDocument/2006/relationships/hyperlink" Target="https://www.sec.gov/Archives/edgar/data/1886894/000149315223041692/ex10-1.htm" TargetMode="External"/><Relationship Id="rId138" Type="http://schemas.openxmlformats.org/officeDocument/2006/relationships/hyperlink" Target="https://www.sec.gov/Archives/edgar/data/1886894/000110465922109030/tm2128835d14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2024-04-05T07:21:30Z</dcterms:created>
  <dcterms:modified xsi:type="dcterms:W3CDTF">2024-04-05T07:21:30Z</dcterms:modified>
</cp:coreProperties>
</file>