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1_edei--DocumentAnnualReport_c2025"/>
            <w:bookmarkEnd w:id="3"/>
            <w:r>
              <w:rPr>
                <w:caps w:val="false"/>
                <w:smallCaps w:val="false"/>
              </w:rPr>
              <w:t>☒</w:t>
            </w:r>
          </w:p>
        </w:tc>
        <w:tc>
          <w:tcPr>
            <w:tcW w:w="9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E_edei--CurrentFiscalYearEndDate_c"/>
      <w:bookmarkStart w:id="5" w:name="xdx_903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E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7" w:name="xdx_901_edei--DocumentTransitionReport_c"/>
            <w:bookmarkEnd w:id="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C_edei--EntityFileNumber_c20250101"/>
      <w:bookmarkEnd w:id="8"/>
      <w:r>
        <w:rPr>
          <w:rFonts w:ascii="Times New Roman;Times;Serif" w:hAnsi="Times New Roman;Times;Serif"/>
          <w:b/>
          <w:i w:val="false"/>
          <w:caps w:val="false"/>
          <w:smallCaps w:val="false"/>
          <w:sz w:val="20"/>
        </w:rPr>
        <w:t>001-41556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A_edei--EntityRegistrantName_c2025"/>
      <w:bookmarkEnd w:id="9"/>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2_edei--EntityTaxIdentificationNum"/>
            <w:bookmarkEnd w:id="11"/>
            <w:r>
              <w:rPr>
                <w:rFonts w:ascii="Times New Roman;Times;Serif" w:hAnsi="Times New Roman;Times;Serif"/>
                <w:b/>
                <w:i w:val="false"/>
                <w:caps w:val="false"/>
                <w:smallCaps w:val="false"/>
                <w:sz w:val="20"/>
              </w:rPr>
              <w:t>88-4146991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90"/>
        <w:gridCol w:w="60"/>
        <w:gridCol w:w="890"/>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C_edei--EntityAddressAddressLine1_"/>
            <w:bookmarkEnd w:id="12"/>
            <w:r>
              <w:rPr>
                <w:rFonts w:ascii="Times New Roman;Times;Serif" w:hAnsi="Times New Roman;Times;Serif"/>
                <w:b/>
                <w:i w:val="false"/>
                <w:caps w:val="false"/>
                <w:smallCaps w:val="false"/>
                <w:sz w:val="20"/>
              </w:rPr>
              <w:t>12049 Jefferson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A_edei--EntityAddressCityOrTown_c2"/>
            <w:bookmarkEnd w:id="13"/>
            <w:r>
              <w:rPr>
                <w:rFonts w:ascii="Times New Roman;Times;Serif" w:hAnsi="Times New Roman;Times;Serif"/>
                <w:b/>
                <w:i w:val="false"/>
                <w:caps w:val="false"/>
                <w:smallCaps w:val="false"/>
                <w:sz w:val="20"/>
              </w:rPr>
              <w:t xml:space="preserve">Culver City, </w:t>
            </w:r>
            <w:bookmarkStart w:id="14" w:name="xdx_904_edei--EntityAddressStateOrProvin"/>
            <w:bookmarkEnd w:id="14"/>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7_edei--EntityAddressPostalZipCode"/>
            <w:bookmarkEnd w:id="15"/>
            <w:r>
              <w:rPr>
                <w:rFonts w:ascii="Times New Roman;Times;Serif" w:hAnsi="Times New Roman;Times;Serif"/>
                <w:b/>
                <w:i w:val="false"/>
                <w:caps w:val="false"/>
                <w:smallCaps w:val="false"/>
                <w:sz w:val="20"/>
              </w:rPr>
              <w:t>90230</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+1 </w:t>
      </w:r>
      <w:bookmarkStart w:id="16" w:name="xdx_90F_edei--CityAreaCode_c20250101__20"/>
      <w:bookmarkEnd w:id="16"/>
      <w:r>
        <w:rPr>
          <w:rFonts w:ascii="Times New Roman;Times;Serif" w:hAnsi="Times New Roman;Times;Serif"/>
          <w:b/>
          <w:i w:val="false"/>
          <w:caps w:val="false"/>
          <w:smallCaps w:val="false"/>
          <w:sz w:val="20"/>
        </w:rPr>
        <w:t xml:space="preserve">(310) </w:t>
      </w:r>
      <w:bookmarkStart w:id="17" w:name="xdx_90A_edei--LocalPhoneNumber_c20250101"/>
      <w:bookmarkEnd w:id="17"/>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05"/>
        <w:gridCol w:w="60"/>
        <w:gridCol w:w="1655"/>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E_edei--Security12bTitle_c20250101"/>
            <w:bookmarkEnd w:id="18"/>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50101__2"/>
            <w:bookmarkEnd w:id="19"/>
            <w:r>
              <w:rPr>
                <w:rFonts w:ascii="Times New Roman;Times;Serif" w:hAnsi="Times New Roman;Times;Serif"/>
                <w:b w:val="false"/>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6_edei--SecurityExchangeName_c2025"/>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1" w:name="xdx_90B_edei--EntityWellKnownSeasonedIss"/>
      <w:bookmarkEnd w:id="21"/>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2" w:name="xdx_901_edei--EntityVoluntaryFilers_c202"/>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1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4" w:name="xdx_90D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E_edei--EntityFilerCategory_c20250"/>
            <w:bookmarkEnd w:id="25"/>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6" w:name="xdx_908_edei--EntitySmallBusiness_c20250"/>
            <w:bookmarkEnd w:id="26"/>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7" w:name="xdx_902_edei--EntityEmergingGrowthCompan"/>
            <w:bookmarkEnd w:id="27"/>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7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B_edei--IcfrAuditorAttestationFlag"/>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5_edei--DocumentFinStmtErrorCorrec"/>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2_edei--EntityShellCompany_dbF_c20"/>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last business day of the Registrant’s most recently completed second quarter, there was no public market for the Registrant’s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for the Class A common stock, based on $1.37 per share, which was the closing price of a share of the Registrant’s Class A common stock on June 30, 2025 (the last business day of the Registrant’s mostly recently completed second fiscal quarter) as reported by the Nasdaq Capital Market on such date was approximately $</w:t>
      </w:r>
      <w:bookmarkStart w:id="32" w:name="xdx_90C_edei--EntityPublicFloat_iI_c2025"/>
      <w:bookmarkEnd w:id="32"/>
      <w:r>
        <w:rPr>
          <w:rFonts w:ascii="Times New Roman;Times;Serif" w:hAnsi="Times New Roman;Times;Serif"/>
          <w:b w:val="false"/>
          <w:i w:val="false"/>
          <w:caps w:val="false"/>
          <w:smallCaps w:val="false"/>
          <w:sz w:val="20"/>
        </w:rPr>
        <w:t>11,877,245. This calculation is based on 8,669,522 shares of our outstanding Class A common stock held by non-affiliates as of June 30, 2025 and a price of $1.37 per share and does not reflect a determination that certain persons are affiliates of the Registrant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28" w:type="dxa"/>
          <w:right w:w="0" w:type="dxa"/>
        </w:tblCellMar>
      </w:tblPr>
      <w:tblGrid>
        <w:gridCol w:w="4460"/>
        <w:gridCol w:w="60"/>
        <w:gridCol w:w="350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 as of March 16, 2026</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w:t>
            </w:r>
            <w:bookmarkStart w:id="33" w:name="xdx_908_edei--EntityListingParValuePerSh"/>
            <w:bookmarkEnd w:id="33"/>
            <w:r>
              <w:rPr>
                <w:rFonts w:ascii="Times New Roman;Times;Serif" w:hAnsi="Times New Roman;Times;Serif"/>
                <w:b/>
                <w:i w:val="false"/>
                <w:caps w:val="false"/>
                <w:smallCaps w:val="false"/>
                <w:sz w:val="20"/>
              </w:rPr>
              <w:t>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4" w:name="xdx_906_edei--EntityCommonStockSharesOut"/>
            <w:bookmarkEnd w:id="34"/>
            <w:r>
              <w:rPr>
                <w:rFonts w:ascii="Times New Roman;Times;Serif" w:hAnsi="Times New Roman;Times;Serif"/>
                <w:b/>
                <w:i w:val="false"/>
                <w:caps w:val="false"/>
                <w:smallCaps w:val="false"/>
                <w:sz w:val="20"/>
              </w:rPr>
              <w:t>9,032,061</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 par value $</w:t>
            </w:r>
            <w:bookmarkStart w:id="35" w:name="xdx_90C_edei--EntityListingParValuePerSh"/>
            <w:bookmarkEnd w:id="35"/>
            <w:r>
              <w:rPr>
                <w:rFonts w:ascii="Times New Roman;Times;Serif" w:hAnsi="Times New Roman;Times;Serif"/>
                <w:b/>
                <w:i w:val="false"/>
                <w:caps w:val="false"/>
                <w:smallCaps w:val="false"/>
                <w:sz w:val="20"/>
              </w:rPr>
              <w:t>0.0001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6" w:name="xdx_90B_edei--EntityCommonStockSharesOut"/>
            <w:bookmarkEnd w:id="36"/>
            <w:r>
              <w:rPr>
                <w:rFonts w:ascii="Times New Roman;Times;Serif" w:hAnsi="Times New Roman;Times;Serif"/>
                <w:b/>
                <w:i w:val="false"/>
                <w:caps w:val="false"/>
                <w:smallCaps w:val="false"/>
                <w:sz w:val="20"/>
              </w:rPr>
              <w:t>28,748,580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 w:name="xdx_908_edei--DocumentsIncorporatedByRef"/>
      <w:bookmarkEnd w:id="37"/>
      <w:r>
        <w:rPr>
          <w:rFonts w:ascii="Times New Roman;Times;Serif" w:hAnsi="Times New Roman;Times;Serif"/>
          <w:b w:val="false"/>
          <w:i w:val="false"/>
          <w:caps w:val="false"/>
          <w:smallCaps w:val="false"/>
          <w:sz w:val="20"/>
        </w:rPr>
        <w:t>Part III of this Annual Report on Form 10-K incorporates certain information by reference from the definitive proxy statement for the Registrant’s 2026 Annual Meeting of Stockholders to be filed within 120 days of the Registrant’s fiscal year ended December 31, 2025 (the “Proxy Statement”). Except with respect to information specifically incorporated by reference in this Form 10-K, the Proxy Statement is not deemed to be filed as part of this Form 10-K.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8860"/>
        <w:gridCol w:w="455"/>
      </w:tblGrid>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88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0" w:type="dxa"/>
            <w:tcBorders/>
            <w:shd w:fill="CCEE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890" w:type="dxa"/>
            <w:tcBorders/>
            <w:shd w:fill="FFFFFF" w:val="clear"/>
            <w:vAlign w:val="center"/>
          </w:tcPr>
          <w:p>
            <w:pPr>
              <w:pStyle w:val="TableContents"/>
              <w:bidi w:val="0"/>
              <w:spacing w:before="0" w:after="283"/>
              <w:jc w:val="left"/>
              <w:rPr/>
            </w:pPr>
            <w:hyperlink w:anchor="VK_002">
              <w:r>
                <w:rPr>
                  <w:rStyle w:val="InternetLink"/>
                  <w:rFonts w:ascii="Times New Roman;Times;Serif" w:hAnsi="Times New Roman;Times;Serif"/>
                  <w:b/>
                  <w:i w:val="false"/>
                  <w:caps w:val="false"/>
                  <w:smallCaps w:val="false"/>
                  <w:sz w:val="20"/>
                </w:rPr>
                <w:t>PART I.</w:t>
              </w:r>
            </w:hyperlink>
          </w:p>
        </w:tc>
        <w:tc>
          <w:tcPr>
            <w:tcW w:w="8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0" w:type="dxa"/>
            <w:tcBorders/>
            <w:shd w:fill="CCEE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Business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60" w:type="dxa"/>
            <w:tcBorders/>
            <w:shd w:fill="FFFF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860" w:type="dxa"/>
            <w:tcBorders/>
            <w:shd w:fill="CCEE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Unresolved Staff Comments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860" w:type="dxa"/>
            <w:tcBorders/>
            <w:shd w:fill="FFFF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Cybersecurity Risk Management, Strategy and Governance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0" w:type="dxa"/>
            <w:tcBorders/>
            <w:shd w:fill="CCEE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Properties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0" w:type="dxa"/>
            <w:tcBorders/>
            <w:shd w:fill="FFFF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0" w:type="dxa"/>
            <w:tcBorders/>
            <w:shd w:fill="CCEE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890" w:type="dxa"/>
            <w:tcBorders/>
            <w:shd w:fill="FFFFFF" w:val="clear"/>
            <w:vAlign w:val="center"/>
          </w:tcPr>
          <w:p>
            <w:pPr>
              <w:pStyle w:val="TableContents"/>
              <w:bidi w:val="0"/>
              <w:spacing w:before="0" w:after="283"/>
              <w:jc w:val="left"/>
              <w:rPr/>
            </w:pPr>
            <w:hyperlink w:anchor="sq_006">
              <w:r>
                <w:rPr>
                  <w:rStyle w:val="InternetLink"/>
                  <w:rFonts w:ascii="Times New Roman;Times;Serif" w:hAnsi="Times New Roman;Times;Serif"/>
                  <w:b/>
                  <w:i w:val="false"/>
                  <w:caps w:val="false"/>
                  <w:smallCaps w:val="false"/>
                  <w:sz w:val="20"/>
                </w:rPr>
                <w:t>PART II.</w:t>
              </w:r>
            </w:hyperlink>
          </w:p>
        </w:tc>
        <w:tc>
          <w:tcPr>
            <w:tcW w:w="8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60" w:type="dxa"/>
            <w:tcBorders/>
            <w:shd w:fill="CCEE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60" w:type="dxa"/>
            <w:tcBorders/>
            <w:shd w:fill="FFFF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[Reserved]</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860" w:type="dxa"/>
            <w:tcBorders/>
            <w:shd w:fill="CCEE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860" w:type="dxa"/>
            <w:tcBorders/>
            <w:shd w:fill="FFFF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860" w:type="dxa"/>
            <w:tcBorders/>
            <w:shd w:fill="CCEE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Financial Statements and Supplementary Data</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860" w:type="dxa"/>
            <w:tcBorders/>
            <w:shd w:fill="FFFFFF" w:val="clear"/>
            <w:vAlign w:val="center"/>
          </w:tcPr>
          <w:p>
            <w:pPr>
              <w:pStyle w:val="TableContents"/>
              <w:bidi w:val="0"/>
              <w:spacing w:before="0" w:after="283"/>
              <w:jc w:val="left"/>
              <w:rPr/>
            </w:pPr>
            <w:hyperlink w:anchor="HK_00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860" w:type="dxa"/>
            <w:tcBorders/>
            <w:shd w:fill="CCEEFF" w:val="clear"/>
            <w:vAlign w:val="center"/>
          </w:tcPr>
          <w:p>
            <w:pPr>
              <w:pStyle w:val="TableContents"/>
              <w:bidi w:val="0"/>
              <w:spacing w:before="0" w:after="283"/>
              <w:jc w:val="left"/>
              <w:rPr/>
            </w:pPr>
            <w:hyperlink w:anchor="HK_002">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860" w:type="dxa"/>
            <w:tcBorders/>
            <w:shd w:fill="FFFFFF" w:val="clear"/>
            <w:vAlign w:val="center"/>
          </w:tcPr>
          <w:p>
            <w:pPr>
              <w:pStyle w:val="TableContents"/>
              <w:bidi w:val="0"/>
              <w:spacing w:before="0" w:after="283"/>
              <w:jc w:val="left"/>
              <w:rPr/>
            </w:pPr>
            <w:hyperlink w:anchor="HK_003">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860" w:type="dxa"/>
            <w:tcBorders/>
            <w:shd w:fill="CCEEFF" w:val="clear"/>
            <w:vAlign w:val="center"/>
          </w:tcPr>
          <w:p>
            <w:pPr>
              <w:pStyle w:val="TableContents"/>
              <w:bidi w:val="0"/>
              <w:spacing w:before="0" w:after="283"/>
              <w:jc w:val="left"/>
              <w:rPr/>
            </w:pPr>
            <w:hyperlink w:anchor="HK_004">
              <w:r>
                <w:rPr>
                  <w:rStyle w:val="InternetLink"/>
                  <w:rFonts w:ascii="Times New Roman;Times;Serif" w:hAnsi="Times New Roman;Times;Serif"/>
                  <w:b w:val="false"/>
                  <w:i w:val="false"/>
                  <w:caps w:val="false"/>
                  <w:smallCaps w:val="false"/>
                  <w:sz w:val="20"/>
                </w:rPr>
                <w:t>Disclosures Regarding Foreign Jurisdictions That Prevent Inspections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890" w:type="dxa"/>
            <w:tcBorders/>
            <w:shd w:fill="FFFFFF" w:val="clear"/>
            <w:vAlign w:val="center"/>
          </w:tcPr>
          <w:p>
            <w:pPr>
              <w:pStyle w:val="TableContents"/>
              <w:bidi w:val="0"/>
              <w:spacing w:before="0" w:after="283"/>
              <w:jc w:val="left"/>
              <w:rPr/>
            </w:pPr>
            <w:hyperlink w:anchor="HK_005">
              <w:r>
                <w:rPr>
                  <w:rStyle w:val="InternetLink"/>
                  <w:rFonts w:ascii="Times New Roman;Times;Serif" w:hAnsi="Times New Roman;Times;Serif"/>
                  <w:b/>
                  <w:i w:val="false"/>
                  <w:caps w:val="false"/>
                  <w:smallCaps w:val="false"/>
                  <w:sz w:val="20"/>
                </w:rPr>
                <w:t>PART III.</w:t>
              </w:r>
            </w:hyperlink>
          </w:p>
        </w:tc>
        <w:tc>
          <w:tcPr>
            <w:tcW w:w="8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860" w:type="dxa"/>
            <w:tcBorders/>
            <w:shd w:fill="CCEEFF" w:val="clear"/>
            <w:vAlign w:val="center"/>
          </w:tcPr>
          <w:p>
            <w:pPr>
              <w:pStyle w:val="TableContents"/>
              <w:bidi w:val="0"/>
              <w:spacing w:before="0" w:after="283"/>
              <w:jc w:val="left"/>
              <w:rPr/>
            </w:pPr>
            <w:hyperlink w:anchor="HK_006">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860" w:type="dxa"/>
            <w:tcBorders/>
            <w:shd w:fill="FFFFFF" w:val="clear"/>
            <w:vAlign w:val="center"/>
          </w:tcPr>
          <w:p>
            <w:pPr>
              <w:pStyle w:val="TableContents"/>
              <w:bidi w:val="0"/>
              <w:spacing w:before="0" w:after="283"/>
              <w:jc w:val="left"/>
              <w:rPr/>
            </w:pPr>
            <w:hyperlink w:anchor="HK_007">
              <w:r>
                <w:rPr>
                  <w:rStyle w:val="InternetLink"/>
                  <w:rFonts w:ascii="Times New Roman;Times;Serif" w:hAnsi="Times New Roman;Times;Serif"/>
                  <w:b w:val="false"/>
                  <w:i w:val="false"/>
                  <w:caps w:val="false"/>
                  <w:smallCaps w:val="false"/>
                  <w:sz w:val="20"/>
                </w:rPr>
                <w:t>Executive Compensation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860" w:type="dxa"/>
            <w:tcBorders/>
            <w:shd w:fill="CCEEFF" w:val="clear"/>
            <w:vAlign w:val="center"/>
          </w:tcPr>
          <w:p>
            <w:pPr>
              <w:pStyle w:val="TableContents"/>
              <w:bidi w:val="0"/>
              <w:spacing w:before="0" w:after="283"/>
              <w:jc w:val="left"/>
              <w:rPr/>
            </w:pPr>
            <w:hyperlink w:anchor="HK_00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860" w:type="dxa"/>
            <w:tcBorders/>
            <w:shd w:fill="FFFFFF" w:val="clear"/>
            <w:vAlign w:val="center"/>
          </w:tcPr>
          <w:p>
            <w:pPr>
              <w:pStyle w:val="TableContents"/>
              <w:bidi w:val="0"/>
              <w:spacing w:before="0" w:after="283"/>
              <w:jc w:val="left"/>
              <w:rPr/>
            </w:pPr>
            <w:hyperlink w:anchor="HK_009">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860" w:type="dxa"/>
            <w:tcBorders/>
            <w:shd w:fill="CCEEFF" w:val="clear"/>
            <w:vAlign w:val="center"/>
          </w:tcPr>
          <w:p>
            <w:pPr>
              <w:pStyle w:val="TableContents"/>
              <w:bidi w:val="0"/>
              <w:spacing w:before="0" w:after="283"/>
              <w:jc w:val="left"/>
              <w:rPr/>
            </w:pPr>
            <w:hyperlink w:anchor="HK_010">
              <w:r>
                <w:rPr>
                  <w:rStyle w:val="InternetLink"/>
                  <w:rFonts w:ascii="Times New Roman;Times;Serif" w:hAnsi="Times New Roman;Times;Serif"/>
                  <w:b w:val="false"/>
                  <w:i w:val="false"/>
                  <w:caps w:val="false"/>
                  <w:smallCaps w:val="false"/>
                  <w:sz w:val="20"/>
                </w:rPr>
                <w:t>Principal Accountant Fees and Services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0" w:type="dxa"/>
            <w:tcBorders/>
            <w:shd w:fill="FFFFFF" w:val="clear"/>
            <w:vAlign w:val="center"/>
          </w:tcPr>
          <w:p>
            <w:pPr>
              <w:pStyle w:val="TableContents"/>
              <w:bidi w:val="0"/>
              <w:spacing w:before="0" w:after="283"/>
              <w:jc w:val="left"/>
              <w:rPr/>
            </w:pPr>
            <w:hyperlink w:anchor="HK_011">
              <w:r>
                <w:rPr>
                  <w:rStyle w:val="InternetLink"/>
                  <w:rFonts w:ascii="Times New Roman;Times;Serif" w:hAnsi="Times New Roman;Times;Serif"/>
                  <w:b/>
                  <w:i w:val="false"/>
                  <w:caps w:val="false"/>
                  <w:smallCaps w:val="false"/>
                  <w:sz w:val="20"/>
                </w:rPr>
                <w:t>PART IV.</w:t>
              </w:r>
            </w:hyperlink>
          </w:p>
        </w:tc>
        <w:tc>
          <w:tcPr>
            <w:tcW w:w="8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860" w:type="dxa"/>
            <w:tcBorders/>
            <w:shd w:fill="CCEEFF" w:val="clear"/>
            <w:vAlign w:val="center"/>
          </w:tcPr>
          <w:p>
            <w:pPr>
              <w:pStyle w:val="TableContents"/>
              <w:bidi w:val="0"/>
              <w:spacing w:before="0" w:after="283"/>
              <w:jc w:val="left"/>
              <w:rPr/>
            </w:pPr>
            <w:hyperlink w:anchor="HK_012">
              <w:r>
                <w:rPr>
                  <w:rStyle w:val="InternetLink"/>
                  <w:rFonts w:ascii="Times New Roman;Times;Serif" w:hAnsi="Times New Roman;Times;Serif"/>
                  <w:b w:val="false"/>
                  <w:i w:val="false"/>
                  <w:caps w:val="false"/>
                  <w:smallCaps w:val="false"/>
                  <w:sz w:val="20"/>
                </w:rPr>
                <w:t>Exhibits and Financial Statement Schedules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860" w:type="dxa"/>
            <w:tcBorders/>
            <w:shd w:fill="FFFFFF" w:val="clear"/>
            <w:vAlign w:val="center"/>
          </w:tcPr>
          <w:p>
            <w:pPr>
              <w:pStyle w:val="TableContents"/>
              <w:bidi w:val="0"/>
              <w:spacing w:before="0" w:after="283"/>
              <w:jc w:val="left"/>
              <w:rPr/>
            </w:pPr>
            <w:hyperlink w:anchor="HK_014">
              <w:r>
                <w:rPr>
                  <w:rStyle w:val="InternetLink"/>
                  <w:rFonts w:ascii="Times New Roman;Times;Serif" w:hAnsi="Times New Roman;Times;Serif"/>
                  <w:b w:val="false"/>
                  <w:i w:val="false"/>
                  <w:caps w:val="false"/>
                  <w:smallCaps w:val="false"/>
                  <w:sz w:val="20"/>
                </w:rPr>
                <w:t>Form 10-K Summary</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90" w:type="dxa"/>
            <w:tcBorders/>
            <w:shd w:fill="CCEEFF" w:val="clear"/>
            <w:vAlign w:val="center"/>
          </w:tcPr>
          <w:p>
            <w:pPr>
              <w:pStyle w:val="TableContents"/>
              <w:bidi w:val="0"/>
              <w:spacing w:before="0" w:after="283"/>
              <w:jc w:val="left"/>
              <w:rPr/>
            </w:pPr>
            <w:hyperlink w:anchor="HK_013">
              <w:r>
                <w:rPr>
                  <w:rStyle w:val="InternetLink"/>
                  <w:rFonts w:ascii="Times New Roman;Times;Serif" w:hAnsi="Times New Roman;Times;Serif"/>
                  <w:b w:val="false"/>
                  <w:i w:val="false"/>
                  <w:caps w:val="false"/>
                  <w:smallCaps w:val="false"/>
                  <w:sz w:val="20"/>
                </w:rPr>
                <w:t>Signatures</w:t>
              </w:r>
            </w:hyperlink>
          </w:p>
        </w:tc>
        <w:tc>
          <w:tcPr>
            <w:tcW w:w="88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VK_001"/>
      <w:bookmarkEnd w:id="38"/>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(the “Annual Report”) contains statements that constitute forward-looking statements. Many of the forward-looking statements contained in this Annual Report can be identified by the use of forward-looking words such as “anticipate,” “believe,” “could,” “expect,” “should,” “plan,” “intend,” “may,” “predict,” “continue,” “estimate” and “potential,” or the negative of these terms or other similar expressions.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Annual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 Item 1A.—Risk Factors,” of this Annual Report. The statements we make regarding the following matters are forward-looking by their nature: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re-establish profitable operations, raise additional capital or renegotiate our debt arrangements;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My Nintendo Store and the Amazon Appstore;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continued listing requirements of the Nasdaq Capital Market could result in a de-listing of our common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Share Repurchase Program;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Annual Report, including those described in Item 1A of Part I, “Risk Factors”;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our financial results are included in our filings with the United States Securities and Exchange Commission (the “SEC”) from time to time, including in Item 1A of Part I, “Risk Factors,” of this Annual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Annual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VK_002"/>
      <w:bookmarkEnd w:id="39"/>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VK_003"/>
      <w:bookmarkEnd w:id="40"/>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was ranked in top 100 on Steam in 2025, a year in which we launched the </w:t>
      </w:r>
      <w:r>
        <w:rPr>
          <w:rFonts w:ascii="Times New Roman;Times;Serif" w:hAnsi="Times New Roman;Times;Serif"/>
          <w:b w:val="false"/>
          <w:i/>
          <w:caps w:val="false"/>
          <w:smallCaps w:val="false"/>
          <w:sz w:val="20"/>
        </w:rPr>
        <w:t xml:space="preserve">ARK: Lost Colony </w:t>
      </w:r>
      <w:r>
        <w:rPr>
          <w:rFonts w:ascii="Times New Roman;Times;Serif" w:hAnsi="Times New Roman;Times;Serif"/>
          <w:b w:val="false"/>
          <w:i w:val="false"/>
          <w:caps w:val="false"/>
          <w:smallCaps w:val="false"/>
          <w:sz w:val="20"/>
        </w:rPr>
        <w:t xml:space="preserve">downloadable content (“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over 108.6 million console and PC installs through December 31, 2025. See Item 7 of Part II, “Management’s Discussion and Analysis of Financial Condition and Results of Operations—Key Performance Metrics.” In the year ended December 31, 2025,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combined for an average total of 224,000 daily active users (“DAUs”) on the Steam and Epic platforms. We define “daily active users” as the number of unique users who play any given game on any given day. For the years ended December 31, 2025 and 2024, we generated 89.4% and 85.1%,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roots trace back to the beginnings of the massively multiplayer online role-playing games (“MMORPG”), with early titles including </w:t>
      </w:r>
      <w:r>
        <w:rPr>
          <w:rFonts w:ascii="Times New Roman;Times;Serif" w:hAnsi="Times New Roman;Times;Serif"/>
          <w:b w:val="false"/>
          <w:i/>
          <w:caps w:val="false"/>
          <w:smallCaps w:val="false"/>
          <w:sz w:val="20"/>
        </w:rPr>
        <w:t>Age of Wushu</w:t>
      </w:r>
      <w:r>
        <w:rPr>
          <w:rFonts w:ascii="Times New Roman;Times;Serif" w:hAnsi="Times New Roman;Times;Serif"/>
          <w:b w:val="false"/>
          <w:i w:val="false"/>
          <w:caps w:val="false"/>
          <w:smallCaps w:val="false"/>
          <w:sz w:val="20"/>
        </w:rPr>
        <w:t>. Our long history provides us with substantial experience that we leverage to identify and invest in promising game development studios and to manage the growth of our games into AAA titles. We collaborate with talented development teams, providing our expertise, capital, technological resources, customer service, marketing strategy and other services to achieve a successful outcome.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optimize our development pipeline and target specific market segments by publishing games under several specialized brands through our three publishing labels, Snail Games USA, Wandering Wizard and Interactive Films. Our distribution strategy utilizes Steam’s early access feature (“Early Access”), which allows us to publish a title while it is still in development, to achieve faster go-to-market times. We utilize proprietary technology, including a versatile game engine and advanced server technology, to heighten artistic detail and increase player engagement.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attribute our continued success to several differentiating elements.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Perseverance</w:t>
      </w:r>
      <w:r>
        <w:rPr>
          <w:rFonts w:ascii="Times New Roman;Times;Serif" w:hAnsi="Times New Roman;Times;Serif"/>
          <w:b w:val="false"/>
          <w:i w:val="false"/>
          <w:caps w:val="false"/>
          <w:smallCaps w:val="false"/>
          <w:sz w:val="20"/>
        </w:rPr>
        <w:t>: We are called Snail because we admire a snail’s perseverance in achieving its goals. We maintain a disciplined approach to our game development, financial management and strategic acquisitions as we seek to deliver long-term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Innovation</w:t>
      </w:r>
      <w:r>
        <w:rPr>
          <w:rFonts w:ascii="Times New Roman;Times;Serif" w:hAnsi="Times New Roman;Times;Serif"/>
          <w:b w:val="false"/>
          <w:i w:val="false"/>
          <w:caps w:val="false"/>
          <w:smallCaps w:val="false"/>
          <w:sz w:val="20"/>
        </w:rPr>
        <w:t xml:space="preserve">: We believe innovation is at the core of a highly engaging entertainment experience. Our titles span from indie games to our AAA franchise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We created the Wandering Wizard label to allow us to invest and grow indie titles built by bright, passionate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Technology</w:t>
      </w:r>
      <w:r>
        <w:rPr>
          <w:rFonts w:ascii="Times New Roman;Times;Serif" w:hAnsi="Times New Roman;Times;Serif"/>
          <w:b w:val="false"/>
          <w:i w:val="false"/>
          <w:caps w:val="false"/>
          <w:smallCaps w:val="false"/>
          <w:sz w:val="20"/>
        </w:rPr>
        <w:t xml:space="preserve">: We utilize advanced and proprietary technologies to drive demand and optimize costs. The Company is strategically integrating artificial intelligence technology into our game development process. We will transform our art pipeline with an innovative text to 3D model and pioneer the generation of resources and biomes on a planetary scale. Our proprietary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operated by our subsidiary Eminence Corp, enables us to substantially broaden our influencer base at an advantaged cost, and our game and server technology provide a highly customizable development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Collaboration</w:t>
      </w:r>
      <w:r>
        <w:rPr>
          <w:rFonts w:ascii="Times New Roman;Times;Serif" w:hAnsi="Times New Roman;Times;Serif"/>
          <w:b w:val="false"/>
          <w:i w:val="false"/>
          <w:caps w:val="false"/>
          <w:smallCaps w:val="false"/>
          <w:sz w:val="20"/>
        </w:rPr>
        <w:t>: We partner with talented independent studios for game development. Development teams, some of which are our wholly owned subsidiaries, are provided capital and other critical resources and are afforded a high degree of autonomy. We believe this model best preserves the culture and creativity of the development team and encourages the development of successful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Developers</w:t>
      </w:r>
      <w:r>
        <w:rPr>
          <w:rFonts w:ascii="Times New Roman;Times;Serif" w:hAnsi="Times New Roman;Times;Serif"/>
          <w:b w:val="false"/>
          <w:i w:val="false"/>
          <w:caps w:val="false"/>
          <w:smallCaps w:val="false"/>
          <w:sz w:val="20"/>
        </w:rPr>
        <w:t>: We believe in the importance of maintaining a broad developer network to ensure the simultaneous development of high-quality games. We have seven internal development studios and we partner with two related-party development studios from AAA to indie located in the United States and internationally.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Experience</w:t>
      </w:r>
      <w:r>
        <w:rPr>
          <w:rFonts w:ascii="Times New Roman;Times;Serif" w:hAnsi="Times New Roman;Times;Serif"/>
          <w:b w:val="false"/>
          <w:i w:val="false"/>
          <w:caps w:val="false"/>
          <w:smallCaps w:val="false"/>
          <w:sz w:val="20"/>
        </w:rPr>
        <w:t>: Our management team has deep knowledge of the gaming landscape based on more than two decades of experience in the gaming industry. Our Founder, Chief Executive Officer, Chief Strategy Officer, and Chairman Mr. Hai Shi, was a pioneer in sandbox and MMORPG games, and our Vice President and Director of Business Development and Operations, Peter Kang, has a deep understanding of game development and publishing. Our industry experience is foundational to our success in development and publishing and helps us to quickly identify attractive acquisition and partnership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December 31, 2025,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series games have been played for 4.3 billion hours with an average playing time per user of 161.4 hours and with the top 21.5% of all players spending over 100 hours in the game, according to data from the Steam platform. For the years ended December 31, 2025 and 2024, our net revenue was $81.2 million and $84.5 million, respectively. We have maintained a diversified revenue base across platforms. During fiscal year 2025, approximately 38.4% of our revenue came from consoles, 50.0% from PC and 9.6% from mobile platforms; as compared to 42.4% from consoles, 48.1% from PC and 5.5% from mobile platforms during the year ended December 31, 2024. We had a net loss of $27.2 million for the year ended December 31, 2025 as compared to a net income of $1.8 million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we accelerated the expansion and monetization of our core franchises across console, PC, and mobile platforms. We released multiple high-impact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DLC expansions, including </w:t>
      </w:r>
      <w:r>
        <w:rPr>
          <w:rFonts w:ascii="Times New Roman;Times;Serif" w:hAnsi="Times New Roman;Times;Serif"/>
          <w:b w:val="false"/>
          <w:i/>
          <w:caps w:val="false"/>
          <w:smallCaps w:val="false"/>
          <w:sz w:val="20"/>
        </w:rPr>
        <w:t>ARK: Astraeos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and launched the highly anticipated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in December 2025. The pre-sale performance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from June through November 2025 exceeded expectations with over 372K units sold.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the base game, continued to deliver robust results in 2025. The inclusion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on PlayStation Plus in May 2025 generated over 8 million downloads and expanded the franchise’s console footprint, with a corresponding uplift in DLC sales. Live-ops execution further strengthened engagement, as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’s two major content updates drove increased engagement among our fans. On mobile,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surpassed 10 million downloads in 2025, reinforcing our multi-platform strategy. We also broadened our gaming portfolio with three game acquisitions, six indie releases, and new in-house IP announcements, underscoring our commitment to sustained franchise growth and diversified content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Beyond gaming, we advanced our Film and TV, and Digital Asset initiatives to diversify revenue streams and strengthen our ecosystem. Our short-form mobile app,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released 100+ short film dramas as of December 31, 2025, and continues to scale production under a strategic Memorandum of Understanding with Mega Matrix Inc. focused on joint development and global distribution. We also expanded into interactive full-motion video games with </w:t>
      </w:r>
      <w:r>
        <w:rPr>
          <w:rFonts w:ascii="Times New Roman;Times;Serif" w:hAnsi="Times New Roman;Times;Serif"/>
          <w:b w:val="false"/>
          <w:i/>
          <w:caps w:val="false"/>
          <w:smallCaps w:val="false"/>
          <w:sz w:val="20"/>
        </w:rPr>
        <w:t>The Fame Game: Welcome to Hollywood</w:t>
      </w:r>
      <w:r>
        <w:rPr>
          <w:rFonts w:ascii="Times New Roman;Times;Serif" w:hAnsi="Times New Roman;Times;Serif"/>
          <w:b w:val="false"/>
          <w:i w:val="false"/>
          <w:caps w:val="false"/>
          <w:smallCaps w:val="false"/>
          <w:sz w:val="20"/>
        </w:rPr>
        <w:t>, deepening user engagement through narrative-driven experiences. In parallel, we announced a strategic digital asset initiative to evaluate the launch of a proprietary stablecoin designed to enable secured digital payments across our entertainment ecosystem. At our December 2025 Investor Day event, we unveiled the stablecoin’s official branding and symbolically minted the first coin, marking a significant milestone in positioning the Company at the forefront of digital innovation within the interactive entertainment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serve a large addressable market in a dynamic industry with strong growth tailwinds. Video games are rapidly growing as an entertainment platform on a global scale given the proliferation of mobile devices and numerous vectors of gaming experience. We are well-positioned to capitalize on economic trends in our markets as we own and/or maintain exclusive license rights to valuable intellectual property (“IP”) that can be monetized through various channels across gaming and digital entertainment. We believe that our current market leadership in video games and growing presence in influencer platform through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is just our beginning.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invested in various successful sandbox survival titles since 2015. Our video game production quality, our history of franchise success, and our technological leadership have contributed to a deeply engaged, global player community, many members of which continue to purchase DLCs for our existing games and related games published under our brand or co-brands. We also offer the advantage of providing equal accessibility to gamers of all experience levels and demographics for our sandbox survival games, allowing us to maximize audience reach. Furthermore, depending on players’ experience and intensity, our platform gives players the flexibility to play on our servers, user-created servers, or private servers, which allows us to target a wider range of gamers and lower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Value Proposition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Value proposition for gamers</w:t>
      </w:r>
      <w:r>
        <w:rPr>
          <w:rFonts w:ascii="Times New Roman;Times;Serif" w:hAnsi="Times New Roman;Times;Serif"/>
          <w:b w:val="false"/>
          <w:i w:val="false"/>
          <w:caps w:val="false"/>
          <w:smallCaps w:val="false"/>
          <w:sz w:val="20"/>
        </w:rPr>
        <w:t>: We aim to provide high-quality entertainment experience to end users. We strive to create the best game play experience for gamers by offering frequent new content and endless game play possibility as key value propositions to our players.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Content</w:t>
      </w:r>
      <w:r>
        <w:rPr>
          <w:rFonts w:ascii="Times New Roman;Times;Serif" w:hAnsi="Times New Roman;Times;Serif"/>
          <w:b w:val="false"/>
          <w:i w:val="false"/>
          <w:caps w:val="false"/>
          <w:smallCaps w:val="false"/>
          <w:sz w:val="20"/>
        </w:rPr>
        <w:t>: We continuously incorporate feedback from players to improve existing games and build expansion packs, which are released periodically. DLCs offer gamers a familiar game play in a new virtual world with a different fantasy twist from dinosaurs to Sci-Fi.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Endless Possibility</w:t>
      </w:r>
      <w:r>
        <w:rPr>
          <w:rFonts w:ascii="Times New Roman;Times;Serif" w:hAnsi="Times New Roman;Times;Serif"/>
          <w:b w:val="false"/>
          <w:i w:val="false"/>
          <w:caps w:val="false"/>
          <w:smallCaps w:val="false"/>
          <w:sz w:val="20"/>
        </w:rPr>
        <w:t>: Our games provide hours of entertainment with features that permit dynamic environmental changes of the virtual world, user-directed conquests, and cooperative or competitive gameplay with other users. Our sandbox games provide players with freedom, without the rules found in other genres such as racing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Value proposition for developers</w:t>
      </w:r>
      <w:r>
        <w:rPr>
          <w:rFonts w:ascii="Times New Roman;Times;Serif" w:hAnsi="Times New Roman;Times;Serif"/>
          <w:b w:val="false"/>
          <w:i w:val="false"/>
          <w:caps w:val="false"/>
          <w:smallCaps w:val="false"/>
          <w:sz w:val="20"/>
        </w:rPr>
        <w:t>: Our business model is dependent on partnerships with developers, and we offer key value propositions of collaborative partnership, culture of innovation and technology to our developers.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Value proposition for creators:</w:t>
      </w:r>
      <w:r>
        <w:rPr>
          <w:rFonts w:ascii="Times New Roman;Times;Serif" w:hAnsi="Times New Roman;Times;Serif"/>
          <w:b w:val="false"/>
          <w:i w:val="false"/>
          <w:caps w:val="false"/>
          <w:smallCaps w:val="false"/>
          <w:sz w:val="20"/>
        </w:rPr>
        <w:t xml:space="preserve"> In the first quarter of 2024, we launched our premium modding program through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which will allow publishing of modified content to the PC, Xbox and PlayStation platforms. This is revolutionary as these platforms were previously locked for modified content. Our proprietary technology will allow capable developers familiar with the cutting-edge Unreal Engine 5 to publish their creations onto console platforms with the click of a button. The premium mods program for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represents a forward-thinking approach to community engagement and rewards creators with an industry leading 50% of the revenue generated.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Partnership</w:t>
      </w:r>
      <w:r>
        <w:rPr>
          <w:rFonts w:ascii="Times New Roman;Times;Serif" w:hAnsi="Times New Roman;Times;Serif"/>
          <w:b w:val="false"/>
          <w:i w:val="false"/>
          <w:caps w:val="false"/>
          <w:smallCaps w:val="false"/>
          <w:sz w:val="20"/>
        </w:rPr>
        <w:t>: We provide capital, technological resources, customer service, marketing strategy and other services to our video game development partners. We strategize with developers to customize marketing campaigns tailored to target markets. Our founder also provides developers with creative and other advice based on his deep expertise in the industry.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Culture of Innovation</w:t>
      </w:r>
      <w:r>
        <w:rPr>
          <w:rFonts w:ascii="Times New Roman;Times;Serif" w:hAnsi="Times New Roman;Times;Serif"/>
          <w:b w:val="false"/>
          <w:i w:val="false"/>
          <w:caps w:val="false"/>
          <w:smallCaps w:val="false"/>
          <w:sz w:val="20"/>
        </w:rPr>
        <w:t>: We believe high-quality experiences result from a combination of forward thinking and fearless creativity. We encourage our development teams to experiment with emerging technologies and unique fantasy twists.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Technology</w:t>
      </w:r>
      <w:r>
        <w:rPr>
          <w:rFonts w:ascii="Times New Roman;Times;Serif" w:hAnsi="Times New Roman;Times;Serif"/>
          <w:b w:val="false"/>
          <w:i w:val="false"/>
          <w:caps w:val="false"/>
          <w:smallCaps w:val="false"/>
          <w:sz w:val="20"/>
        </w:rPr>
        <w:t xml:space="preserve">: Our developers have access to our advanced development infrastructure as well as our proprietary technology including our micro-influencer technology,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which helps brands engage with previously untapped small- to mid-sized influencers.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strategic flywheel is anchored by our dedication to delivering high-quality, compelling entertainment experiences and is driven by our capabilities in publishing, developing and creating proprietary technology. Growth in the number of published titles allows us to invest in new development teams and proprietary technology, which expand the number of titles we publish in a self-reinforcing loop. As the quality of our games increases, we are well-positioned to attract more users and more influencers. With increased influencers through our propriety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we are able to reach a broader audience and increase user engagement within our games. This drives additional revenue, which we use to increase our developer network and to build proprietary technology. Our technology, along with our collaborative, innovative culture attracts talented developers, which in turn result in an increased number of high-quality games.</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126480" cy="2898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6480" cy="2898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Publishing</w:t>
      </w:r>
      <w:r>
        <w:rPr>
          <w:rFonts w:ascii="Times New Roman;Times;Serif" w:hAnsi="Times New Roman;Times;Serif"/>
          <w:b w:val="false"/>
          <w:i w:val="false"/>
          <w:caps w:val="false"/>
          <w:smallCaps w:val="false"/>
          <w:sz w:val="20"/>
        </w:rPr>
        <w:t xml:space="preserve">: We derive the majority of our revenue from titles we offer through licensing and publishing agreements.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is led by our strategic partnership with Studio Wildcard. Our typical publishing cycle includes annual DLC releases for our major franchises, after which we repeat the same publishing cycle to attract new players and continue to entertain our existing players. We seek to bring new fantasy twists and genres to our players with innovative, creative content cultivated from strong partnerships with independent developers and published through our Interactive Films and Wandering Wizard labels.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Development</w:t>
      </w:r>
      <w:r>
        <w:rPr>
          <w:rFonts w:ascii="Times New Roman;Times;Serif" w:hAnsi="Times New Roman;Times;Serif"/>
          <w:b w:val="false"/>
          <w:i w:val="false"/>
          <w:caps w:val="false"/>
          <w:smallCaps w:val="false"/>
          <w:sz w:val="20"/>
        </w:rPr>
        <w:t xml:space="preserve">: We also develop titles using a partnership approach in which we acquire ownership stakes in independent development teams. We preserve a development team’s culture by allowing a high degree of autonomy in its operations, which we believe allows development teams to retain their creative license, while also extracting synergies by utilizing our shared resources including customer service and backend functions. Furthermore, we foster a culture of communication where employees at all levels at our partner studios are able to receive direct feedback from our CEO. We partnered with Donkey Crew to produce </w:t>
      </w:r>
      <w:r>
        <w:rPr>
          <w:rFonts w:ascii="Times New Roman;Times;Serif" w:hAnsi="Times New Roman;Times;Serif"/>
          <w:b w:val="false"/>
          <w:i/>
          <w:caps w:val="false"/>
          <w:smallCaps w:val="false"/>
          <w:sz w:val="20"/>
        </w:rPr>
        <w:t>Last Oasis</w:t>
      </w:r>
      <w:r>
        <w:rPr>
          <w:rFonts w:ascii="Times New Roman;Times;Serif" w:hAnsi="Times New Roman;Times;Serif"/>
          <w:b w:val="false"/>
          <w:i w:val="false"/>
          <w:caps w:val="false"/>
          <w:smallCaps w:val="false"/>
          <w:sz w:val="20"/>
        </w:rPr>
        <w:t xml:space="preserve">, a nomadic survival massively multiplayer online game (“MMO”) with melee combat conquests, and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an open-world survival game set in medieval times and includes town building, resource management and combat strategy.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Technology</w:t>
      </w:r>
      <w:r>
        <w:rPr>
          <w:rFonts w:ascii="Times New Roman;Times;Serif" w:hAnsi="Times New Roman;Times;Serif"/>
          <w:b w:val="false"/>
          <w:i w:val="false"/>
          <w:caps w:val="false"/>
          <w:smallCaps w:val="false"/>
          <w:sz w:val="20"/>
        </w:rPr>
        <w:t xml:space="preserve">: We are early adopters of the latest technology in our games and develop proprietary technology when necessary to address market opportunities. We maintain a flexible infrastructure to efficiently develop virtual worlds with advanced rendering and atmospheric effects across a wide array of video game types. We developed a proprietary micro-influencer marketing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to help game streamers and game companies reach a wider audience and diversify marketing spend. We work with our developers to create custom campaigns to optimize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Key Strengths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Top-ranked category defining franchise with a track record of growth</w:t>
      </w:r>
      <w:r>
        <w:rPr>
          <w:rFonts w:ascii="Times New Roman;Times;Serif" w:hAnsi="Times New Roman;Times;Serif"/>
          <w:b w:val="false"/>
          <w:i w:val="false"/>
          <w:caps w:val="false"/>
          <w:smallCaps w:val="false"/>
          <w:sz w:val="20"/>
        </w:rPr>
        <w:t xml:space="preserve">: Our dedication to our customers and innovative game development has resulted in our position as a top-ranked, category-defining franchise with a track record of growth. Our flagship franchise,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over 108.6 million console and PC installs through December 31, 2025.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has consistently ranked among the top-grossing titles on Steam. As of December 31, 2025,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has been played for 4.3 billion hours since its release on the Steam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Proven expertise in creating successful gaming franchises</w:t>
      </w:r>
      <w:r>
        <w:rPr>
          <w:rFonts w:ascii="Times New Roman;Times;Serif" w:hAnsi="Times New Roman;Times;Serif"/>
          <w:b w:val="false"/>
          <w:i w:val="false"/>
          <w:caps w:val="false"/>
          <w:smallCaps w:val="false"/>
          <w:sz w:val="20"/>
        </w:rPr>
        <w:t xml:space="preserve">: We have proven expertise in creating successful gaming franchises. We are a multi-platform publisher with over 16 years of experience in creating culturally influential game titles, while demonstrating financial growth. As of December 31, 2025, we had 37 game titles. By recognizing the lucrative potential of the sandbox survival category at its nascent stages, we became a first mover in the category, and we now license and publish leading IP, including the global franchise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Survival Ascended, Bellwright, Atlas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Last Oasis</w:t>
      </w:r>
      <w:r>
        <w:rPr>
          <w:rFonts w:ascii="Times New Roman;Times;Serif" w:hAnsi="Times New Roman;Times;Serif"/>
          <w:b w:val="false"/>
          <w:i w:val="false"/>
          <w:caps w:val="false"/>
          <w:smallCaps w:val="false"/>
          <w:sz w:val="20"/>
        </w:rPr>
        <w:t>. Our approach to the industry is to create a one-size-fits-all game to draw people into the overall sandbox survival genre. In order to retain players, we invest in game quality to generate additional interest, in addition to spending on advertising. Our collaborative relationships with video game development studios, industry leaders, technology providers and distribution platforms allow us to invest in promising video game projects and manage their growth into AAA video games and entertainment franchises. Our approach creates a continuous cycle of monetization opportunities across our gaming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IP portfolio spanning across multiple media formats and technology platforms to captivate end user</w:t>
      </w:r>
      <w:r>
        <w:rPr>
          <w:rFonts w:ascii="Times New Roman;Times;Serif" w:hAnsi="Times New Roman;Times;Serif"/>
          <w:b w:val="false"/>
          <w:i w:val="false"/>
          <w:caps w:val="false"/>
          <w:smallCaps w:val="false"/>
          <w:sz w:val="20"/>
        </w:rPr>
        <w:t xml:space="preserve">: We license and own an IP portfolio spanning across multiple media formats and technology platforms to captivate end users. Our primary use of IP is to generate successful video games within and beyond the sandbox survival genre. Currently, our games are available on Xbox Live and Game Pass, PlayStation Network, Steam, Epic Games Store, the Apple App Store, the Google Play Store, My Nintendo Store and the Amazon Appstore, as well as through traditional retail channels. However, our vision for our valuable IP rights extend far beyond just gaming: our vision extends into media formats such as animation, TV, movies, eSports, and reality TV and interactive media, which we believe has tremendous potential. We have high aspirations across digital media and we have entered the animation and television industry with </w:t>
      </w:r>
      <w:r>
        <w:rPr>
          <w:rFonts w:ascii="Times New Roman;Times;Serif" w:hAnsi="Times New Roman;Times;Serif"/>
          <w:b w:val="false"/>
          <w:i/>
          <w:caps w:val="false"/>
          <w:smallCaps w:val="false"/>
          <w:sz w:val="20"/>
        </w:rPr>
        <w:t xml:space="preserve">ARK, the Animated Series </w:t>
      </w:r>
      <w:r>
        <w:rPr>
          <w:rFonts w:ascii="Times New Roman;Times;Serif" w:hAnsi="Times New Roman;Times;Serif"/>
          <w:b w:val="false"/>
          <w:i w:val="false"/>
          <w:caps w:val="false"/>
          <w:smallCaps w:val="false"/>
          <w:sz w:val="20"/>
        </w:rPr>
        <w:t>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Collaborative development process between developers and management</w:t>
      </w:r>
      <w:r>
        <w:rPr>
          <w:rFonts w:ascii="Times New Roman;Times;Serif" w:hAnsi="Times New Roman;Times;Serif"/>
          <w:b w:val="false"/>
          <w:i w:val="false"/>
          <w:caps w:val="false"/>
          <w:smallCaps w:val="false"/>
          <w:sz w:val="20"/>
        </w:rPr>
        <w:t xml:space="preserve">: We continue to evolve with the industry with our deep pipeline of leading video game franchises such as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Survival Ascended, Atlas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Survivor Mercs, Last Oasis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Our success in game development and in keeping up with industry trends is partially attributed to our collaborative relationships with video game development studios, industry leaders, technology providers and distribution platforms. Our cooperative development process provides for a proprietary scalable model to publish multiple AAA video games based on current trends. We are proud of our collaborative relationship with our developers, as we believe it is truly unique in our industry and one of our main differentiators. We offer developers an ecosystem that aligns incentives and creates an environment for creativity to thrive. In addition to wonderful ideas for games, we value partners who share our vision and culture. After a partnership is formed, we offer developers a direct line of communication to Mr. Shi, our Founder, Chief Executive Officer, Chief Strategy Officer and Chairman, who is viewed as a pioneer in the video game industry and business world. We offer developers freedom by giving them access to the wide breadth of the Snail platform and resources so they can do what they do best: create.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Innovative use and creation of next-gen technologies and platforms</w:t>
      </w:r>
      <w:r>
        <w:rPr>
          <w:rFonts w:ascii="Times New Roman;Times;Serif" w:hAnsi="Times New Roman;Times;Serif"/>
          <w:b w:val="false"/>
          <w:i w:val="false"/>
          <w:caps w:val="false"/>
          <w:smallCaps w:val="false"/>
          <w:sz w:val="20"/>
        </w:rPr>
        <w:t xml:space="preserve">: We use innovative technology to serve our customers, allowing us to provide high-quality user experiences and services. Our proprietary video game technology includes a versatile development pipeline tools, advanced rendering technology and advanced server and network operations, in addition to our use of currently accepted standard industry technologies. Additionally, our customizable development infrastructure provides a framework for efficiently developing all types of video game projects using advanced rendering technologies for realistic lighting, weather and atmospheric effects, for creating new types of virtual assets and for other effects that heighten artistic detail and increase player engagement. Our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premium mod program unlocks the power of Unreal Engine 5 for our player base to create limitless content and rewards their creativity through the most competitive revenue sharing models in the industry. Modders will be able to amplify their reach through this technology by publishing their mods across multiple platforms. Our micro-influencer business,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strives to build an influencer marketing platform for brands to directly engage with small to-midsized influencers, through which influencers can reach millions of video game consumers and generate additional revenue at a cost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Visionary management team well versed in industry and business</w:t>
      </w:r>
      <w:r>
        <w:rPr>
          <w:rFonts w:ascii="Times New Roman;Times;Serif" w:hAnsi="Times New Roman;Times;Serif"/>
          <w:b w:val="false"/>
          <w:i w:val="false"/>
          <w:caps w:val="false"/>
          <w:smallCaps w:val="false"/>
          <w:sz w:val="20"/>
        </w:rPr>
        <w:t>: We attribute much of our success to our visionary senior management and business development teams, which have a deep understanding of games and global video markets and aim to build innovative products for gamers. Our Founder, Chief Executive Officer, Chief Strategy Officer and Chairman, Mr. Shi, is also the founder and Chief Executive Officer of Suzhou Snail Digital Technology Co., Ltd. (“Suzhou Snail”), a related party, and is a pioneer in the video game industry and the sandbox survival genre. Mr. Shi is responsible for our overall vision, which has included adapting our business model for the global markets, focusing on premium games and investing in video game development and publishing in North America and Europe. Our founder and other members of our management and business development teams are seasoned gamers, who lead and provide insight into gaming development from a first-hand user’s perspective. We operate in an ecosystem in which our leaders employ a hands-on approach, as each developer is able to get direct contact with our founder and receive one-on-one feedback and mentorship.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Continue to grow our successful </w:t>
      </w:r>
      <w:r>
        <w:rPr>
          <w:rFonts w:ascii="Times New Roman;Times;Serif" w:hAnsi="Times New Roman;Times;Serif"/>
          <w:b/>
          <w:i w:val="false"/>
          <w:caps w:val="false"/>
          <w:smallCaps w:val="false"/>
          <w:sz w:val="20"/>
        </w:rPr>
        <w:t xml:space="preserve">ARK </w:t>
      </w:r>
      <w:r>
        <w:rPr>
          <w:rFonts w:ascii="Times New Roman;Times;Serif" w:hAnsi="Times New Roman;Times;Serif"/>
          <w:b/>
          <w:i/>
          <w:caps w:val="false"/>
          <w:smallCaps w:val="false"/>
          <w:sz w:val="20"/>
        </w:rPr>
        <w:t>franchise</w:t>
      </w:r>
      <w:r>
        <w:rPr>
          <w:rFonts w:ascii="Times New Roman;Times;Serif" w:hAnsi="Times New Roman;Times;Serif"/>
          <w:b w:val="false"/>
          <w:i w:val="false"/>
          <w:caps w:val="false"/>
          <w:smallCaps w:val="false"/>
          <w:sz w:val="20"/>
        </w:rPr>
        <w:t xml:space="preserve">: As one of the most creative and innovative companies in our industry, our primary strategy is to capitalize on our franchise and focus on delivering unique games and content, offering services that extend and enhance the experience, and connecting more players across more platforms. We believe the breadth and depth of our multi-platform, services offerings, and our use of multiple business models and distribution channels provide us with strategic advantages. We have established ourselves as a market leader based on our continued ability to release titles which rank in the top 100 of Steam sales and will continue to enhance our market-leading gaming franchises including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Survival Ascended, ARK: Ultimate Mobile Edition, Voyage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Bellwright, West Hunt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PixArk</w:t>
      </w:r>
      <w:r>
        <w:rPr>
          <w:rFonts w:ascii="Times New Roman;Times;Serif" w:hAnsi="Times New Roman;Times;Serif"/>
          <w:b w:val="false"/>
          <w:i w:val="false"/>
          <w:caps w:val="false"/>
          <w:smallCaps w:val="false"/>
          <w:sz w:val="20"/>
        </w:rPr>
        <w:t xml:space="preserve">. We focus on publishing high-quality content, regularly updating our games after launch to encourage social interactions, adding new content and features, and improving monetization. For example, we have released five paid DLCs since the original release of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to support further growth in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Furthermore, we have released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to revolutionize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experience for our players through leveraging the Unreal Engine 5 and have implemented thorough quality of life revamps in all aspects of the game. We continue to release new DLCs such as </w:t>
      </w:r>
      <w:r>
        <w:rPr>
          <w:rFonts w:ascii="Times New Roman;Times;Serif" w:hAnsi="Times New Roman;Times;Serif"/>
          <w:b w:val="false"/>
          <w:i/>
          <w:caps w:val="false"/>
          <w:smallCaps w:val="false"/>
          <w:sz w:val="20"/>
        </w:rPr>
        <w:t>Bob’s Tall Tales, Fantastic Tames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Astraeos, Lost Colony</w:t>
      </w:r>
      <w:r>
        <w:rPr>
          <w:rFonts w:ascii="Times New Roman;Times;Serif" w:hAnsi="Times New Roman;Times;Serif"/>
          <w:b w:val="false"/>
          <w:i w:val="false"/>
          <w:caps w:val="false"/>
          <w:smallCaps w:val="false"/>
          <w:sz w:val="20"/>
        </w:rPr>
        <w:t>, etc. to further enhance the player experience and growth of the ARK franchise. We will also continue to support the modding community through the premium mod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Continue to build a strong pipeline of new content via Snail Games USA and our independent label, Wandering Wizard</w:t>
      </w:r>
      <w:r>
        <w:rPr>
          <w:rFonts w:ascii="Times New Roman;Times;Serif" w:hAnsi="Times New Roman;Times;Serif"/>
          <w:b w:val="false"/>
          <w:i w:val="false"/>
          <w:caps w:val="false"/>
          <w:smallCaps w:val="false"/>
          <w:sz w:val="20"/>
        </w:rPr>
        <w:t xml:space="preserve">: Building on our strong established franchises and creating new franchises through compelling new content is at the core of our business. We are always seeking ways to expand our portfolio of franchises, launching new intellectual property or rolling out innovative platforms for gamers to remain engaged and have a unique experience. We endeavor to reach as many consumers as possible by offering our content on multiple platforms and delivering compelling experiences across multiple business models. Currently, we have seven console and PC games under development that are expected to be released in the next five years. Our independent label, Wandering Wizard, allows us to publish independent games of different graphical quality and different genres at a lower acquisition cost while utilizing our proven development and distribution strategies. Titles published under Wandering Wizard include </w:t>
      </w:r>
      <w:r>
        <w:rPr>
          <w:rFonts w:ascii="Times New Roman;Times;Serif" w:hAnsi="Times New Roman;Times;Serif"/>
          <w:b w:val="false"/>
          <w:i/>
          <w:caps w:val="false"/>
          <w:smallCaps w:val="false"/>
          <w:sz w:val="20"/>
        </w:rPr>
        <w:t>West Hunt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Expedition Agartha, Survivor Mercs,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Zombie Within</w:t>
      </w:r>
      <w:r>
        <w:rPr>
          <w:rFonts w:ascii="Times New Roman;Times;Serif" w:hAnsi="Times New Roman;Times;Serif"/>
          <w:b w:val="false"/>
          <w:i w:val="false"/>
          <w:caps w:val="false"/>
          <w:smallCaps w:val="false"/>
          <w:sz w:val="20"/>
        </w:rPr>
        <w:t xml:space="preserve">, and more recently, </w:t>
      </w:r>
      <w:r>
        <w:rPr>
          <w:rFonts w:ascii="Times New Roman;Times;Serif" w:hAnsi="Times New Roman;Times;Serif"/>
          <w:b w:val="false"/>
          <w:i/>
          <w:caps w:val="false"/>
          <w:smallCaps w:val="false"/>
          <w:sz w:val="20"/>
        </w:rPr>
        <w:t>Zombie Rollerz and Rebel Engine</w:t>
      </w:r>
      <w:r>
        <w:rPr>
          <w:rFonts w:ascii="Times New Roman;Times;Serif" w:hAnsi="Times New Roman;Times;Serif"/>
          <w:b w:val="false"/>
          <w:i w:val="false"/>
          <w:caps w:val="false"/>
          <w:smallCaps w:val="false"/>
          <w:sz w:val="20"/>
        </w:rPr>
        <w:t>. In addition to spending on advertising, we invest in the research and development of new games as a form of marketing to increase our exposure. We believe that utilizing resources in this manner allows us to better leverage our areas of developmental expertise before launching a title. Each new game serves as an opportunity to market ourselves, expose audiences to the sandbox survival genre, engage with existing players, and monetize our platform’s full breadth of opportunities.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Continue to expand </w:t>
      </w:r>
      <w:r>
        <w:rPr>
          <w:rFonts w:ascii="Times New Roman;Times;Serif" w:hAnsi="Times New Roman;Times;Serif"/>
          <w:b/>
          <w:i w:val="false"/>
          <w:caps w:val="false"/>
          <w:smallCaps w:val="false"/>
          <w:sz w:val="20"/>
        </w:rPr>
        <w:t xml:space="preserve">NOIZ, </w:t>
      </w:r>
      <w:r>
        <w:rPr>
          <w:rFonts w:ascii="Times New Roman;Times;Serif" w:hAnsi="Times New Roman;Times;Serif"/>
          <w:b/>
          <w:i/>
          <w:caps w:val="false"/>
          <w:smallCaps w:val="false"/>
          <w:sz w:val="20"/>
        </w:rPr>
        <w:t>our micro-influencer marketing business, and use the platform to bolster our marketing initiatives and eCommerce revenue</w:t>
      </w:r>
      <w:r>
        <w:rPr>
          <w:rFonts w:ascii="Times New Roman;Times;Serif" w:hAnsi="Times New Roman;Times;Serif"/>
          <w:b w:val="false"/>
          <w:i w:val="false"/>
          <w:caps w:val="false"/>
          <w:smallCaps w:val="false"/>
          <w:sz w:val="20"/>
        </w:rPr>
        <w:t xml:space="preserve">: We are focused on reaching more players whenever and wherever they want to play. We believe that we can add value to our network by utilizing content creators and micro-influencers to connect to a world of play by offering an interactive platform for players to engage in. We created our proprietary, full-service marketing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where we have direct relationships with influencers and save on third-party costs.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helps aspiring game streamers and game companies reach a wider audience, diversify marketing spend and income streams, and build their own brands easily and professionally at a large scale.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provides speed and payment to influencers, in addition to speed in the execution of marketing campaigns since no large scale agencies are involved.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benefits all of our marketing and promotional initiatives and serves as a source of eCommerce revenue.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is designed so that clients can choose to work on campaigns on their own or directly with our creative campaign managers in an end-to-end managed campaign process, with 24/7 support, by paying a fee. The management team at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is comprised of eSports and gaming industry veterans and has worked with clients such as Square Enix, Sega, Stunlock Studios, Facebook, Sansar, TikTok, Bose, Softgiving, and Omaze.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directly contributes to our video game growth because each influencer’s stream of our games to their followers is a sales opportunity. Micro- and macro-influencers have taken advantage of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’s unique program, through which they receive a portion of the revenue from the video games they help sell. Through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we can also collect data used to analyze new trends and self-market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Continue investing in new technologies and platforms to efficiently capitalize on emerging trends</w:t>
      </w:r>
      <w:r>
        <w:rPr>
          <w:rFonts w:ascii="Times New Roman;Times;Serif" w:hAnsi="Times New Roman;Times;Serif"/>
          <w:b w:val="false"/>
          <w:i w:val="false"/>
          <w:caps w:val="false"/>
          <w:smallCaps w:val="false"/>
          <w:sz w:val="20"/>
        </w:rPr>
        <w:t>: We provide a variety of digitally delivered products and games that are played online and on mobile platforms, such as tablets and smartphones; as such, there are various opportunities for us to grow and enhance profitability. We will continue investing in new distribution channels such as streaming media, animation, television and eSports as opportunities in platform distribution as well as DLCs arise to expand our reach and grow our business. We invest in the development of interactive entertainment products for new distribution channels, which incorporate a new technology or business model that enables us to compete more effectively against our peers. For our future games, we ultimately aim to build a metaverse in which users can create their own gameplay content and interact in a virtual world with other players over a secured network. We intend to hold competitions where players can submit created content and receive rewards, with the potential of incorporation into a new map as DLC with the assistance of our development team. We continuously evaluate and integrate AI advancements into our development pipeline, leveraging emerging technologies to enhance efficiency, creativity, and overall productivity. As AI evolves, we are strategically adopting tools that optimize workflows and expand creative possibilities, including AI-driven image and video generation, AI-assisted photogrammetry for 3D models, AI-enhanced textures for realistic lighting, and AI-powered coding with large language models. These innovations are already driving significant productivity gains across all aspects of game development, allowing us to invest in the future while maintaining the handcrafted quality that defines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Scale our operations through international market expansion and strategic acquisitions</w:t>
      </w:r>
      <w:r>
        <w:rPr>
          <w:rFonts w:ascii="Times New Roman;Times;Serif" w:hAnsi="Times New Roman;Times;Serif"/>
          <w:b w:val="false"/>
          <w:i w:val="false"/>
          <w:caps w:val="false"/>
          <w:smallCaps w:val="false"/>
          <w:sz w:val="20"/>
        </w:rPr>
        <w:t>: In line with our growth strategy, we plan to complete acquisitions to expand our gaming offerings, obtain talent, and expand into new markets. We continue to evaluate strategic acquisition opportunities in areas such as studios, publishers, and agencies. We may also pursue joint ventures or establish subsidiaries with strategic partners as well as make investments in interactive gaming and entertainment business as part of our long-term business strategy. The global market for interactive entertainment continues to grow, and we seek to increase our presence internationally, particularly in South America, where video game demand is expected to increase as the region advances in technology. We have existing relationships and customers in South America which we hope will continue to grow. We retain licensing rights to our intellectual properties in certain regions and intend to build on our existing licensing relationships and also continue to expand on license distribution strategies to grow our international business. As a result, we are actively exploring international strategic opportunities that fit our needs and culture. We are currently iterating on an updated interface and product model for NOIZ which we will be terming NOIZ 3.0. This will update our interface with our current base and provide our clients with a more versatile way to issue campaigns to NOIZ’s userbase. We also seek to expand our licensing opportunities to new platforms and other geographies. We are continuing to execute on our growth initiatives, where our strategy is to broaden the distribution of our licensing opportunities. We intend to continue to build on our licensing relationships and also continue to expand on distribution strategies to grow our business. Furthermore, the growth and development of electronic commerce will enable us to explore more licensing opportunities across various geographic regions.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ARK: Survival Evolved</w:t>
      </w:r>
      <w:r>
        <w:rPr>
          <w:rFonts w:ascii="Times New Roman;Times;Serif" w:hAnsi="Times New Roman;Times;Serif"/>
          <w:b w:val="false"/>
          <w:i w:val="false"/>
          <w:caps w:val="false"/>
          <w:smallCaps w:val="false"/>
          <w:sz w:val="20"/>
        </w:rPr>
        <w:t xml:space="preserve">: is an action-adventure survival sandbox game set in an open-world environment with a dynamic day-night cycle. Players must survive being stranded on an island filled with roaming dinosaurs and other prehistoric animals, natural hazards, and potentially hostile human players. The game released to Early Access in June 2015 and to retail in August 2017. The game was ranked #1 by market share within the sandbox survival genre, based on Steam sales, within one year of its release to Early Access. The game supports consoles (PS4, PS5, Xbox One, Xbox Series X/S, and Nintendo Switch), PCs and mobile (Android, iOS). We developed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in partnership with Studio Wildcard, and have released five expansion packs, or DLCs.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 A desert map with minimum water and extreme weathers. The DLC was released on September 2016.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Aberration</w:t>
            </w:r>
            <w:r>
              <w:rPr>
                <w:rFonts w:ascii="Times New Roman;Times;Serif" w:hAnsi="Times New Roman;Times;Serif"/>
                <w:b w:val="false"/>
                <w:i w:val="false"/>
                <w:caps w:val="false"/>
                <w:smallCaps w:val="false"/>
                <w:sz w:val="20"/>
              </w:rPr>
              <w:t>. A radiation style expansion pack to explore the mysterious underground world. The DLC was released on December 2017.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Extinction</w:t>
            </w:r>
            <w:r>
              <w:rPr>
                <w:rFonts w:ascii="Times New Roman;Times;Serif" w:hAnsi="Times New Roman;Times;Serif"/>
                <w:b w:val="false"/>
                <w:i w:val="false"/>
                <w:caps w:val="false"/>
                <w:smallCaps w:val="false"/>
                <w:sz w:val="20"/>
              </w:rPr>
              <w:t>. A mechanical style expansion pack themed to fight against giant titans and save the post-apocalyptic earth. The DLC was released on November 2018.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Genesis 1 &amp; 2</w:t>
            </w:r>
            <w:r>
              <w:rPr>
                <w:rFonts w:ascii="Times New Roman;Times;Serif" w:hAnsi="Times New Roman;Times;Serif"/>
                <w:b w:val="false"/>
                <w:i w:val="false"/>
                <w:caps w:val="false"/>
                <w:smallCaps w:val="false"/>
                <w:sz w:val="20"/>
              </w:rPr>
              <w:t>. A mission-based gameplay DLC with the ability to explore new worlds and mysterious stories. The DLCs were released in February 2020 and in June 2021, respectively.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ARK: Survival Ascended: </w:t>
      </w:r>
      <w:r>
        <w:rPr>
          <w:rFonts w:ascii="Times New Roman;Times;Serif" w:hAnsi="Times New Roman;Times;Serif"/>
          <w:b w:val="false"/>
          <w:i w:val="false"/>
          <w:caps w:val="false"/>
          <w:smallCaps w:val="false"/>
          <w:sz w:val="20"/>
        </w:rPr>
        <w:t xml:space="preserve">Uses the latest in videogame technology, Unreal Engine 5 (“UE5”), to deliver the next evolution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is reimagined from the ground up with updated artwork, high end graphics, new physics systems and quality of life revamps in every area of the game.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also includes cross-platform multiplayer and modding capabilities. Players who purchase the game can currently access the island, </w:t>
      </w:r>
      <w:r>
        <w:rPr>
          <w:rFonts w:ascii="Times New Roman;Times;Serif" w:hAnsi="Times New Roman;Times;Serif"/>
          <w:b w:val="false"/>
          <w:i/>
          <w:caps w:val="false"/>
          <w:smallCaps w:val="false"/>
          <w:sz w:val="20"/>
        </w:rPr>
        <w:t xml:space="preserve">Scorched Earth, Aberration, and Extinction, </w:t>
      </w:r>
      <w:r>
        <w:rPr>
          <w:rFonts w:ascii="Times New Roman;Times;Serif" w:hAnsi="Times New Roman;Times;Serif"/>
          <w:b w:val="false"/>
          <w:i w:val="false"/>
          <w:caps w:val="false"/>
          <w:smallCaps w:val="false"/>
          <w:sz w:val="20"/>
        </w:rPr>
        <w:t xml:space="preserve">and will have access to </w:t>
      </w:r>
      <w:r>
        <w:rPr>
          <w:rFonts w:ascii="Times New Roman;Times;Serif" w:hAnsi="Times New Roman;Times;Serif"/>
          <w:b w:val="false"/>
          <w:i/>
          <w:caps w:val="false"/>
          <w:smallCaps w:val="false"/>
          <w:sz w:val="20"/>
        </w:rPr>
        <w:t xml:space="preserve">ARK Genesis Parts 1 and 2 </w:t>
      </w:r>
      <w:r>
        <w:rPr>
          <w:rFonts w:ascii="Times New Roman;Times;Serif" w:hAnsi="Times New Roman;Times;Serif"/>
          <w:b w:val="false"/>
          <w:i w:val="false"/>
          <w:caps w:val="false"/>
          <w:smallCaps w:val="false"/>
          <w:sz w:val="20"/>
        </w:rPr>
        <w:t>and more. The game currently supports consoles and PCs and was developed in partnership with Studio Wildcard and Grove Street Games.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Lost Colony</w:t>
            </w:r>
            <w:r>
              <w:rPr>
                <w:rFonts w:ascii="Times New Roman;Times;Serif" w:hAnsi="Times New Roman;Times;Serif"/>
                <w:b w:val="false"/>
                <w:i w:val="false"/>
                <w:caps w:val="false"/>
                <w:smallCaps w:val="false"/>
                <w:sz w:val="20"/>
              </w:rPr>
              <w:t>. A map that sets in a brutal, post-Cataclysmic era where the Earth’s southern pole has been plunged into eternal night. The DLC was released in December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ARK Ultimate Mobile Edition: </w:t>
      </w:r>
      <w:r>
        <w:rPr>
          <w:rFonts w:ascii="Times New Roman;Times;Serif" w:hAnsi="Times New Roman;Times;Serif"/>
          <w:b w:val="false"/>
          <w:i w:val="false"/>
          <w:caps w:val="false"/>
          <w:smallCaps w:val="false"/>
          <w:sz w:val="20"/>
        </w:rPr>
        <w:t>A complete dinosaur survival experience tailored for iOS and Android mobile devices. This new free adaptation includes the massive content from PC and console versions of ARK: Survival Evolved and its acclaimed Expansion Packs—Scorched Earth, Aberration, Extinction, Genesis Parts 1 &amp; 2, and fan-favorite maps like Ragnarok. With its debut, players can explore massive worlds, tame and train over 150 dinosaurs, and build and craft in an expansive multiplayer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Bellwright</w:t>
      </w:r>
      <w:r>
        <w:rPr>
          <w:rFonts w:ascii="Times New Roman;Times;Serif" w:hAnsi="Times New Roman;Times;Serif"/>
          <w:b w:val="false"/>
          <w:i w:val="false"/>
          <w:caps w:val="false"/>
          <w:smallCaps w:val="false"/>
          <w:sz w:val="20"/>
        </w:rPr>
        <w:t>: Developed in connection with our wholly owned subsidiary, Donkey Crew, Bellwright is an open-world strategy survival game based in the medieval period. The game offers a compelling blend of survival, strategy, combat, and town building in a richly imagined world. Players are challenged to build, sustain, and defend their town against the elements and adversaries all while building a rebellion force to take on the crown. Bellwright to launched in Early Access in the second quarter of 2024. Two large content updates have been added since Early Access release in April 2025 (Anniversary Update) and December 2025 (Maiden Voyage Update).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PixARK</w:t>
      </w:r>
      <w:r>
        <w:rPr>
          <w:rFonts w:ascii="Times New Roman;Times;Serif" w:hAnsi="Times New Roman;Times;Serif"/>
          <w:b w:val="false"/>
          <w:i w:val="false"/>
          <w:caps w:val="false"/>
          <w:smallCaps w:val="false"/>
          <w:sz w:val="20"/>
        </w:rPr>
        <w:t xml:space="preserve">: An open-world, voxel type, survival sandbox game. To survive in the </w:t>
      </w:r>
      <w:r>
        <w:rPr>
          <w:rFonts w:ascii="Times New Roman;Times;Serif" w:hAnsi="Times New Roman;Times;Serif"/>
          <w:b w:val="false"/>
          <w:i/>
          <w:caps w:val="false"/>
          <w:smallCaps w:val="false"/>
          <w:sz w:val="20"/>
        </w:rPr>
        <w:t xml:space="preserve">PixARK </w:t>
      </w:r>
      <w:r>
        <w:rPr>
          <w:rFonts w:ascii="Times New Roman;Times;Serif" w:hAnsi="Times New Roman;Times;Serif"/>
          <w:b w:val="false"/>
          <w:i w:val="false"/>
          <w:caps w:val="false"/>
          <w:smallCaps w:val="false"/>
          <w:sz w:val="20"/>
        </w:rPr>
        <w:t xml:space="preserve">world players must tame creatures, craft high tech and magical tools and build their bases using cubes. The game has a robust character creator, an infinite number of voxel-based maps and procedurally generated quests making every </w:t>
      </w:r>
      <w:r>
        <w:rPr>
          <w:rFonts w:ascii="Times New Roman;Times;Serif" w:hAnsi="Times New Roman;Times;Serif"/>
          <w:b w:val="false"/>
          <w:i/>
          <w:caps w:val="false"/>
          <w:smallCaps w:val="false"/>
          <w:sz w:val="20"/>
        </w:rPr>
        <w:t>PixARK</w:t>
      </w:r>
      <w:r>
        <w:rPr>
          <w:rFonts w:ascii="Times New Roman;Times;Serif" w:hAnsi="Times New Roman;Times;Serif"/>
          <w:b w:val="false"/>
          <w:i w:val="false"/>
          <w:caps w:val="false"/>
          <w:smallCaps w:val="false"/>
          <w:sz w:val="20"/>
        </w:rPr>
        <w:t xml:space="preserve"> adventure unique to the player. Players can play on their own or band together to form tribes. The game was released by Early Access on Microsoft Windows and Xbox One, then in 2019 the full version was launched on Steam, PlayStation 4 and Nintendo Switch.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Voyage Century Online</w:t>
      </w:r>
      <w:r>
        <w:rPr>
          <w:rFonts w:ascii="Times New Roman;Times;Serif" w:hAnsi="Times New Roman;Times;Serif"/>
          <w:b w:val="false"/>
          <w:i w:val="false"/>
          <w:caps w:val="false"/>
          <w:smallCaps w:val="false"/>
          <w:sz w:val="20"/>
        </w:rPr>
        <w:t>: A free-to-play MMORPG set in the Age of Sail. Launched in 2007, the game focuses on maritime exploration, trading, naval battles, and empire-building. Players can choose different professions such as merchants, explorers, or naval warriors, and engage in real-time ship combat, city sieges, and treasure hunting. The game features an open world based on real historical locations, with a strong emphasis on upgrading ships, crafting, and economic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 Hunt</w:t>
      </w:r>
      <w:r>
        <w:rPr>
          <w:rFonts w:ascii="Times New Roman;Times;Serif" w:hAnsi="Times New Roman;Times;Serif"/>
          <w:b w:val="false"/>
          <w:i w:val="false"/>
          <w:caps w:val="false"/>
          <w:smallCaps w:val="false"/>
          <w:sz w:val="20"/>
        </w:rPr>
        <w:t>: Launched in Early Access in June 2022 and v1.0 in March 2023, West Hunt is a multiplayer social deduction game set in the Wild West. Developed by NewGen, it features 1v1 or team-based gameplay where one player takes on the role of an outlaw blending in with NPCs, while the other plays as a sheriff trying to identify and eliminate the criminal before time runs out. The outlaw must complete secret objectives without raising suspicion, while the sheriff uses clues and deduction to track them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employ industry standard game engines for the majority of our games, which allows flexibility and accelerated game development. Our proprietary code modifies the game engines to fit the needs and features of our games as necessary, and for franchises like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we are able to leverage that proprietary code in the development of new DLCs for existing games and development of entirely new games. We retain ownership of all code developed for our proprietary engine, Flexi, which is currently being used to develop certain games in our pipeline with the expectation of launching to external developers in the near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offer an industry-leading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through which influencers can connect with brands in need. We continue to make technological enhancements to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with a focus on streamlining the process to connect brands with influencers, and facilitating and simplifying the agreements that need to be executed between the two parties.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interactive entertainment market is highly competitive and evolves rapidly as new games, content and features are introduced. We compete with other interactive entertainment companies such as Activision Blizzard, Inc., Electronic Arts Inc., Take-Two Interactive, Zynga, Ubisoft, Epic Games, Tencent, Netmarble, Sony, Microsoft and Nintendo primarily for game development on consoles, PCs and mobile devices. Across the sandbox survival game genre, we primarily compete with Embracer Group, Saber Group, Enand Global 7, FunCom, Axolot Games, and Facepunch Studios. We also face competition from other independent developer studios. Important factors in the video game development and publishing industries include innovation, creative and technical talent, game quality, brand recognition, platform compatibility, pricing, accessibility to distribution channels and customer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broader competitors include other providers of digital entertainment, such as film, television, social networking, streaming and music.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 content, advertising and marketing activities (including sweepstakes, contests and giveaways) and anti-corruption. These laws, including the General Data Protection Regulation and the California Consumer Privacy Act, which may restrict our ability to gather and use data about our users, or could harm our business by limiting the products and services we can offer consumers or the manner in which we advertise or offer them. Data privacy, data protection, localization, security and consumer-protection laws are evolving, and the interpretation and application of these laws in the United States (including compliance with the California Consumer Privacy Act), Europe (including compliance with the General Data Protection Regulation), and elsewhere often are uncertain, contradictory and changing. It is possible that these laws may be interpreted or applied in a manner that is adverse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revenue. Additionally, emerging regulations addressing artificial intelligence that may be incorporated into our games could impose new compliance obligations and restrict certain product features.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which significantly increase our compliance costs. As our business expands to include new uses or collection of data that are subject to privacy or security regulations and our operations continue to expand across the globe, our compliance requirements and costs will increase and we may be subject to increased regulatory scrutiny.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risks relating to data privacy and security, see Item 1A of Part I, “Risk Factors — Risks Related to Legal or Regulatory Compliance — 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interactive entertainment companies, our business is significantly dependent on the creation, acquisition, use and protection of intellectual property. Some of this intellectual property is in the form of software code, other technology, and trade secrets that we use to run our games. Other intellectual property includes copyrighted audio-visual elements that consumers can see, hear, and interact with when they are playing our games. Most of the intellectual property we use is licensed to us by third-party game developers. We obtain such intellectual property rights through licenses and service agreements, and such licenses may limit our use of such intellectual property to specific uses and for specific time periods. We seek to advance and maintain our business through both a combination of licensed and owned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we owned the following trademarks related to the business: 15 registered trademarks in the United States, 2 registered trademarks in non-U.S. jurisdictions, 11 registered United States copyrights and 1 pending U.S. design patent application through one of our subsidiaries, which is scheduled to expire in 2033, assuming payment of all appropriate maintenance, renewal, annuity or other governmental fees. As of December 31, 2024, we did not have any pending trademark registration applications and we did not have any issued U.S. design patents. Additionally, we have registered domain names for websites that we use in our business, such as </w:t>
      </w:r>
      <w:r>
        <w:rPr>
          <w:rFonts w:ascii="Times New Roman;Times;Serif" w:hAnsi="Times New Roman;Times;Serif"/>
          <w:b w:val="false"/>
          <w:i/>
          <w:caps w:val="false"/>
          <w:smallCaps w:val="false"/>
          <w:sz w:val="20"/>
        </w:rPr>
        <w:t xml:space="preserve">snailgamesusa.com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playark.com.</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majority of our revenue is derived from licensed intellectual property, such as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license the intellectual property underlying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Inc. (“SDE”), the parent company of Studio Wildcard. SDE is controlled by the spouse of Mr. Shi, our Founder, Chief Executive Officer, Chief Strategy Officer and Chairman.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which was amended and restated on January 1, 2022, and subsequently, amended in December 2022, March 2023, and October 2023 (as amended and restated, and as further amended to date, the “ARK1 License Agreement). The license fee has been restructured so that we will pay 40% of total revenue of </w:t>
      </w:r>
      <w:r>
        <w:rPr>
          <w:rFonts w:ascii="Times New Roman;Times;Serif" w:hAnsi="Times New Roman;Times;Serif"/>
          <w:b w:val="false"/>
          <w:i/>
          <w:caps w:val="false"/>
          <w:smallCaps w:val="false"/>
          <w:sz w:val="20"/>
        </w:rPr>
        <w:t>ARK I</w:t>
      </w:r>
      <w:r>
        <w:rPr>
          <w:rFonts w:ascii="Times New Roman;Times;Serif" w:hAnsi="Times New Roman;Times;Serif"/>
          <w:b w:val="false"/>
          <w:i w:val="false"/>
          <w:caps w:val="false"/>
          <w:smallCaps w:val="false"/>
          <w:sz w:val="20"/>
        </w:rPr>
        <w:t xml:space="preserve"> as a royalty instead of the $1.5 million monthly fee plus 25% of the total </w:t>
      </w:r>
      <w:r>
        <w:rPr>
          <w:rFonts w:ascii="Times New Roman;Times;Serif" w:hAnsi="Times New Roman;Times;Serif"/>
          <w:b w:val="false"/>
          <w:i/>
          <w:caps w:val="false"/>
          <w:smallCaps w:val="false"/>
          <w:sz w:val="20"/>
        </w:rPr>
        <w:t>ARK I</w:t>
      </w:r>
      <w:r>
        <w:rPr>
          <w:rFonts w:ascii="Times New Roman;Times;Serif" w:hAnsi="Times New Roman;Times;Serif"/>
          <w:b w:val="false"/>
          <w:i w:val="false"/>
          <w:caps w:val="false"/>
          <w:smallCaps w:val="false"/>
          <w:sz w:val="20"/>
        </w:rPr>
        <w:t xml:space="preserve"> revenue once the sequel,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is publicly released. The ARK1 License Agreement expires in 2035, with provisions for automatic renewal for three-year terms unless either party elects not to renew. The ARK1 License Agreement may also be terminated early for material breach or insolvency by either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we amended the ARK1 License Agreement with SDE to include DLC prepayments. The Company will prepay a maximum of $5.0 million for each DLC, in whole or in part, in advance of a DLC release. No payment with respect to any DLC will exceed $5.0 million. The October 2023 amendment to the ARK1 License Agreement clarified the delineation of the </w:t>
      </w:r>
      <w:r>
        <w:rPr>
          <w:rFonts w:ascii="Times New Roman;Times;Serif" w:hAnsi="Times New Roman;Times;Serif"/>
          <w:b w:val="false"/>
          <w:i/>
          <w:caps w:val="false"/>
          <w:smallCaps w:val="false"/>
          <w:sz w:val="20"/>
        </w:rPr>
        <w:t>ARK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monthly license fees, royalty percentages for each, and applicability of the $5.0 million DLC payments. Following the launch date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we will pay a monthly license fee of $2.0 million, which will be terminated upon the public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 xml:space="preserve">The $2.0 million monthly license fee replaces the $1.5 million monthly license fee we were previously paying for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Additionally, following the launch of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we will pay 25% of the total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revenues as a monthly royalty and 40% of the total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revenue as a monthly royalty. The previously released 5 DLCs, mini-packs or add-ons to the 5 DLCs and any non-canonical maps on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are not subject to DLC payments required under the existing agreement. In 2025 and 2024, we incurred $24.0 million and $24.0 million, respectively, in license costs and $18.6 million and $19.7 million, respectively, in royalty costs pursuant to the ARK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our primary licenses for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we are also party to other licensing agreements with Suzhou Snail, relating to the intellectual property for our current mobile and upcoming PC games. Under these license agreements, we receive an exclusive, sublicensable license to use, publish, distribute, market, operate and service games from third parties. The license agreements call for the developers to develop a certain number of titles for us, while we are responsible for the operation and launch of such games including the marketing, strategy, billing, and server maintenance for such games. In these agreements, payment terms will frequently include royalty payments to developers in the low to mid double-digit percentages range and will occasionally include up-front licensing payments and development payments based on scheduled deliverable milestones. Under these agreements, the developer will often own all of the intellectual property, and the agreements can be terminated for breach with a period to cure, for insolvency, or for our nonpayment. In 2025 and 2024, we accrued $0.7 million and $0.7 million, respectively, in license, royalty and development costs, which we record under accounts payable -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engaged in enforcement of our copyright, trademark,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risks relating to intellectual property, see Item 1A of Part I, “Risk Factors — Risks Related to Intellectual Property.”</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which we own, is located at 12049 Jefferson Boulevard, Culver City, California 90230. Certain debt agreements are secured by our principal executive offices. We also lease additional facilities to support our operations.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166 full-time employees worldwide, of whom approximately 74% are based in North America and approximately 26% are based in Europe, the Middle East and Africa (“EMEA”) region. We have approximately 72% of our employees dedicated to technology and content development, 7% to marketing and 21% to general administration. As of December 31, 2025, we do not have any part-time employees, nor do we have any unions or collective bargaining agreements with any of our employees. We work to identify, attract and retain employees who are aligned with and will help us progress towards our mission, and we seek to provide competitive cash and 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Games USA, Inc. (“Snail Games USA”) was incorporated in the State of California on September 22, 2009. Snail, Inc. (“Snail”) was incorporated in the State of Delaware on January 11, 2022. Concurrently with our initial public offering in November 2022, Snail and Snail Games USA consummated transactions, as a result of which, (i) Snail became a holding company, with its principal asset consisting of all of the shares of common stock of Snail Games USA and (ii) Snail controls the business and affairs of Snail Games USA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 is located at 12049 Jefferson Boulevard, Culver City, California 90230. Our telephone number at this address is (310) 988-0643. Our main website is </w:t>
      </w:r>
      <w:r>
        <w:rPr>
          <w:rFonts w:ascii="Times New Roman;Times;Serif" w:hAnsi="Times New Roman;Times;Serif"/>
          <w:b w:val="false"/>
          <w:i/>
          <w:caps w:val="false"/>
          <w:smallCaps w:val="false"/>
          <w:sz w:val="20"/>
        </w:rPr>
        <w:t>https://investor.snail.com/</w:t>
      </w:r>
      <w:r>
        <w:rPr>
          <w:rFonts w:ascii="Times New Roman;Times;Serif" w:hAnsi="Times New Roman;Times;Serif"/>
          <w:b w:val="false"/>
          <w:i w:val="false"/>
          <w:caps w:val="false"/>
          <w:smallCaps w:val="false"/>
          <w:sz w:val="20"/>
        </w:rPr>
        <w:t>. The information contained in, or accessible through, our website is not incorporated by reference in, and should not be considered part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proprietary rights to trademarks, trade names and service marks appearing in this Annual Report that are important to our business. Solely for convenience, the trademarks, trade names and service marks may appear in this Annual Report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Annual Report are the property of their respective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our Annual Reports on Form 10-K, Quarterly Reports on Form 10-Q, Current Reports on Form 8-K, and amendments to those reports, available free of charge at our website as soon as reasonably practicable after they have been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VK_004"/>
      <w:bookmarkEnd w:id="4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future success of our ARK franchise, and we must continue to publish “hit” titles or sequels to such “hit” titles in order to compete successfully in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consistently deliver popular, high-quality content in a timely manner, if we are not successful in meaningfully expanding our existing franchise, or if consumers prefer products from our competitors, our business may be negatively impacted.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key management and product development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the risks of earthquakes, fire, floods, public health crises and other natural catastrophes and to interruption by man-made problems such as power disruptions, computer viruses, data security breaches or other incidents, war or terrorism.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subject to rapid technological change, and if we do not adapt to, and appropriately allocate our resources among, emerging technologies and business models, our business may be negatively impacted.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servers and networks to operate our games with online features. If we were to lose functionality in any of these areas for any reason, our business may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effectively manage the continued growth and the scope and complexity of our business, including our expansion into new business models that are untested and into adjacent business opportunities with large, established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online games are vulnerable to the risk of service disruptions due to large-scale distributed denial-of-service (DDoS) attacks.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interactive entertainment software industry is highly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product development risks, which could result in delays and additional costs, and often times we must adapt to changes in software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or services we release may contain defects, bugs or errors.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game developers may not meet product development schedules or otherwise fulfill their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successfully invest in, establish and maintain awareness of our brand and games or if we incur excessive expenses promoting and maintaining our brand or our games, our business, financial condition, results of operations or reputation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fluctuate from quarter to quarter, which makes our future results difficult to predict.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rapid growth and expect to invest in our growth for the foreseeable future. If we fail to manage our growth effectively, then our business, operating results and financial condition would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metrics and other estimates are subject to inherent challenges in measurement, and real or perceived inaccuracies in those metrics could harm our business, revenue and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Company’s operations into new products, services and technologies, including content categories, is inherently risky and may subject it to additional business, legal, financial and competitive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artificial intelligence (“AI”), which could expose us to liability or adversely affect our business.</w:t>
            </w:r>
          </w:p>
        </w:tc>
      </w:tr>
    </w:tbl>
    <w:p>
      <w:pPr>
        <w:pStyle w:val="TextBody"/>
        <w:bidi w:val="0"/>
        <w:spacing w:before="0" w:after="283"/>
        <w:jc w:val="left"/>
        <w:rPr/>
      </w:pPr>
      <w:r>
        <w:rPr/>
        <w:t> </w:t>
      </w:r>
    </w:p>
    <w:p>
      <w:pPr>
        <w:pStyle w:val="TextBody"/>
        <w:bidi w:val="0"/>
        <w:jc w:val="left"/>
        <w:rPr>
          <w:b/>
          <w:i/>
        </w:rPr>
      </w:pPr>
      <w:r>
        <w:rPr>
          <w:b/>
          <w:i/>
        </w:rPr>
        <w:t>Risks Related to Intellectual Property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the intellectual property relating to our material software, the commercial value of our products will be adversely affected, and our competitive position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infringe, misappropriate, or otherwise violate or are alleged to infringe, misappropriate or otherwise violate the intellectual property rights of third parties, our business could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Legal or Regulatory Compliance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cybersecurity-related attack, significant data breach, or disruption of the information technology systems or networks on which we rely could negatively impact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Corporate Structure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Shi, our Founder, Chief Executive Officer, Chief Strategy Officer and Chairman, controls us, and his ownership of our common stock prevents you and other stockholders from influencing significant decisions.</w:t>
            </w:r>
          </w:p>
        </w:tc>
      </w:tr>
    </w:tbl>
    <w:p>
      <w:pPr>
        <w:pStyle w:val="TextBody"/>
        <w:bidi w:val="0"/>
        <w:spacing w:before="0" w:after="283"/>
        <w:jc w:val="left"/>
        <w:rPr/>
      </w:pPr>
      <w:r>
        <w:rPr/>
        <w:t> </w:t>
      </w:r>
    </w:p>
    <w:p>
      <w:pPr>
        <w:pStyle w:val="TextBody"/>
        <w:bidi w:val="0"/>
        <w:jc w:val="left"/>
        <w:rPr>
          <w:b/>
          <w:i/>
        </w:rPr>
      </w:pPr>
      <w:r>
        <w:rPr>
          <w:b/>
          <w:i/>
        </w:rPr>
        <w:t>Financial and Economic Risks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general economic conditions decline, demand for our games could decline. In addition, our business is vulnerable to changing economic conditions and to other factors that adversely affect the gaming industry, which could negatively impact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factors, domestically and internationally, may adversely affect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debt obligations with short term durations that are coming due within one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recorded a full valuation allowance against our deferred tax assets, and there can be no assurance that any portion of these assets will be realized.</w:t>
            </w:r>
          </w:p>
        </w:tc>
      </w:tr>
    </w:tbl>
    <w:p>
      <w:pPr>
        <w:pStyle w:val="TextBody"/>
        <w:bidi w:val="0"/>
        <w:spacing w:before="0" w:after="283"/>
        <w:jc w:val="left"/>
        <w:rPr/>
      </w:pPr>
      <w:r>
        <w:rPr/>
        <w:t> </w:t>
      </w:r>
    </w:p>
    <w:p>
      <w:pPr>
        <w:pStyle w:val="TextBody"/>
        <w:bidi w:val="0"/>
        <w:jc w:val="left"/>
        <w:rPr>
          <w:b/>
          <w:i/>
        </w:rPr>
      </w:pPr>
      <w:r>
        <w:rPr>
          <w:b/>
          <w:i/>
        </w:rPr>
        <w:t>General Risk Factors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our Share Repurchase Program will be fully implemented, nor that it will enhance stockholder value, and share repurchases could affect the price of our Class A common stock.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future success of our ARK franchise, and we must continue to publish “hit” titles or sequels to such “hit” titles in order to compete successfully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is a “hit” product and has historically accounted for a substantial portion of our revenue.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89.4% of our net revenue for the year ended December 31, 2025, and our five best-selling franchises (including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which may change year over year, in the aggregate accounted for 96.6% of our net revenue for the year ended December 31, 2025.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consistently deliver popular, high-quality content in a timely manner, if we are not successful in meaningfully expanding our existing franchise, or if consumers prefer products from our competitors, our business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from SDE, the parent company of Studio Wildcard, which is also an entity that is owned and controlled by the spouse of our Founder, Chief Executive Officer, Chief Strategy Officer and Chairman, Mr. Shi. We entered into an original exclusive software license agreement with SDE in November 2015, for the rights to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which ARK1 License Agreement was subsequently amended and restated ARK1 License Agreement in December 2022 and further amended in October 2023. As amended, the ARK1 License Agreement expires in 2035, with provisions for automatic renewal for three-year terms unless either party elects not to renew. The ARK1 License Agreement may also be terminated early for material breach or insolvency by either party.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contributed 89.4% of our net revenue for the year ended December 31, 2025.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“Business—Intellectual Property,” included in this Annual Report for the fiscal year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key management and product development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appointed Hai Shi, our founder, Chairman of the Board of Directors and Chief Strategy Officer, to serve as our sole Chief Executive Officer effective October 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the services of any or all of our executive officers,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or Israel and Hamas, acts of terrorism, public health crises, such as pandemics and epidemics, or other catastrophic events could cause disruptions in our or our customers’ businesses, national economies or the world economy as a whole.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subject to rapid technological change, and if we do not adapt to, and appropriately allocate our resources among, emerging technologies and business models, our business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pace of change in product offerings and consumer tastes in the electronics and digital gaming areas is great and this pace of change is expected to accelerate as artificial intelligence is further incorporated into the development of games.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year ended December 31, 2025, 95.1%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servers and networks to operate our games with online features. If we were to lose functionality in any of these areas for any reason, our business may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online games are vulnerable to the risk of Service Disruptions Due to Large-Scale Distributed Denial-of-Service (DDoS) Attacks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online game servers are vulnerable to Distributed Denial-of-Service (“DDoS) attacks, we are increasingly targeted by large-scale DDoS attacks, which have, at times, overwhelmed our game servers despite our implementation of advanced DDoS protection measures, it can disrupt gameplay, impact players experience, and harm our reputation. Recently, we have experienced waves of exceptionally large DDoS attacks that exceeded our mitigation capacity, causing prolonged server outages and disrupting player access to our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prevent or mitigate future DDoS attacks, our services may experience repeated disruptions, negatively impacting the player experience, damaging our reputation, and leading to decreased user engagement and retention. Additionally, prolonged downtime could result in lost revenue, increased customer support costs, and potential refunds. Furthermore, as cyber threats continue to evolve in complexity and scale, strengthening our defenses may require significant additional investment in infrastructure, third-party security services, or other protective measures. If such attacks persist or escalate, they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effectively manage the continued growth and the scope and complexity of our business, including our expansion into new business models that are untested and into adjacent business opportunities with large, established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recent years, we have experienced significant growth in the scope and complexity of our business. From time to time we seek to establish and implement new business models, including eSports offerings, our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interactive entertainment software industry is highly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product development risks, which could result in delays and additional costs, and often times we must adapt to changes in software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increasing costs due to inflation or the ongoing geopolitical conflicts, we may not be able to release titles according to our schedule and at budgeted costs. There can be no assurance that our products will be sufficiently successful so that we can recoup these costs or make a profit on these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95.1% of our net revenue by product platform for the year ended December 31, 2025. The success of our business is subject to the continued popularity of these platforms and our ability to develop commercially successful products for these platforms.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Moreover, it typically takes time before we have products available on next 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products or services we release may contain defects, bugs or errors.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External game developers may not meet product development schedules or otherwise fulfill their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from quarter to quarter, which makes our future results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our player base;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revenue from existing customers;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new features and functionalities and enhance existing features and functionalities;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respond to competitive developments, including pricing changes and the introduction of new products and features by our competitors, or the emergence of new competitors;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purchasing patterns of our consumers;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downtime or defects in our game and reputational harm;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financial accounting standards and the interpretation of those standards that may affect the way we recognize and report our financial results, including changes in accounting rules governing recognition of revenue;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and government regulations in the countries where we currently operate or plan to expand;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by us to incur additional expenses, such as increases in sales and marketing or research and development;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costs to attract, onboard, retain and motivate qualified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rapid growth and expect to invest in our growth for the foreseeable future. If we fail to manage our growth effectively, then our business, operating results and financial condition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by rising interest rates, inflation, uncertainties related to government fiscal and tax policies, including changes in tax rates, duties, tariffs, or other restrictions, sovereign debt crises, and other economic factors and the ongoing conflicts in Ukraine and Gaza.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User metrics and other estimates are subject to inherent challenges in measurement, and real or perceived inaccuracies in those metrics could harm our business, revenue and financial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regularly review our engagement metrics, including the number of our active users, paying users, and other measures to evaluate growth trends, performance and to make informed strategic decisions. These metrics are calculated using internal company data and have not been validated by an independent third party. While these numbers are based on what we currently believe to be reasonable estimates for the applicable period of measurement, there are inherent challenges in measuring, thus metrics calculations may be inaccurate, and we may not be able to identify those inaccuracies. In addition, we may implement new methodologies for calculating these metrics, which may result in the metrics changing or decreasing from prior periods or not being comparable to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Expansion of the Company’s operations into new products, services and technologies, including content categories, is inherently risky and may subject it to additional business, legal, financial and competitive risks.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Company’s operations and its marketplace into additional products and services, such as short film drama involve numerous risks and challenges, including potential new competition, increased capital requirements and increased marketing spent to achieve customer awareness of these new products and services. Growth into additional content, product and service areas may require changes to the Company’s existing business model and cost structure and modifications to its infrastructure and may expose the Company to new regulatory and legal risks, any of which may require expertise in areas in which the Company has little or no experience. There is no guarantee that the Company will be able to generate sufficient revenue from sales of such products and services to offset the costs of developing, acquiring, managing and monetizing such products and services and the Company’s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our efforts to attract and retain users are not successful, our business will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short film revenue is derived from in-app currency spend. We must continually add users and convert them to paying users. The video streaming business is new to us and our ability to penetrate and grow our user base may fluctuate. Our ability to attract and retain users and convert them to paying users will depend in part on our ability to consistently provide our users in countries around the globe with compelling content choices that keep our users engaged with our service, effectively drive conversation around our content and service, as well as provide quality experience for choosing and enjoying our short film dramas. Furthermore, the relative service levels, content offerings, pricing and related features of competitors to our service may adversely impact on our ability to attract and retain users. Competitors include other entertainment video providers, such as linear television, and streaming entertainment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user growth is also impacted by adverse macroeconomic conditions, including inflation, may also adversely impact our ability to attract and retain paying users our business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do not continuously provide value to our users, including making improvements to our service in a manner that is favorably received by them, our revenue, results of operations and business will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consumers do not perceive our service offering to be of value, including if we introduce new or adjust existing features, adjust pricing or service offerings, or change the mix of content in a manner that is not favorably received by them, we may not be able to attract and retain paying users, and accordingly, our revenue, including revenue per paying user,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adjust our in-app pricing, or our pricing model itself. Any adjustments we make may not be well received by our users and could negatively impact our ability to attract and retain paying users, and as a result, our ability to grow our business will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fail to grow and maintain our active user base, our business, financial condition and operating results may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active user base with our products is critical to our success. We are new to the short film drama business. Our financial performance has been and will continue to be significantly affected by our ability to grow and engage our active user base. In addition, we may fail to maintain or increase our user base or our users’ engagement if,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innovate or develop new products and services that provide relevant content and satisfactory experience;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produce new dramas that are attractive to our users;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respond to or adopt evolving technologies for product development on a timely and cost-effective basis;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successfully market and monetize our existing and new mobile applications throughout their life cycles;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maintain or improve our technology infrastructure and security measures designed to protect our users’ personal privacy and cyber security;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lose users to competing products and services or due to concerns related to personal privacy and cyber security or other reasons;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successfully implement our strategies related to the continued expansion of our global user base;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existing or new laws, regulations or government policies to implement changes to our products or services that are adverse to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utilize artificial intelligence (“AI”), which could expose us to liability or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integrated, or are in the process of integrating, artificial intelligence (“AI”) into various aspects of our business operations. These include, but are not limited to, customer service automation, data analytics, game development, and generation of resources. We evaluate and adapt our AI strategies to optimize operational efficiency and enhance customer experiences. We have made and expect to continue to make investments in AI, including software acquisitions, development of proprietary algorithms, and talent recruitment. These investments are expected to drive innovation, improve operational efficiencies, and contribute to long-term growth. While AI presents substantial opportunities, it also poses certain risks. These include reliance on complex algorithms, potential biases in AI decision-making, cybersecurity threats, and regulatory changes. If the AI tools that we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the AI tools we use rely, we also may incur liability through the violation of applicable laws and regulations, third-party intellectual property, privacy or other rights, or contracts to which we are a party. Improper use of AI development tools could also result in a loss of our ability to protect our own IP assets. We seek to mitigate these risks through regular audits, risk assessments, review of privacy standards, security protocols, monitoring, and adaptive AI models. The integration of AI technologies has also led to changes in workforce requirements. We invest in employee training and development to adapt to AI-driven changes. While AI automates certain tasks, it also creates new roles and opportunities within our organization. We anticipate that AI will play an increasingly significant role in our operations and strategy. Ongoing investments and research in AI are expected to yield new capabilities and efficiencies, aligning with our long-term vision for innovation and growth.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 of AI is rapidly evolving worldwide as legislators and regulators are increasingly focused on these powerful emerging technologies. The technologies underlying AI and its uses are subject to a variety of laws and regulations, including intellectual property, data privacy and 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cybersecurity, and data protection laws and regulations to AI or are considering general legal frameworks for AI. For example, the EU’s Artificial Intelligence Act establishes a comprehensive regulatory framework that may impose significant compliance obligations on companies using AI within the EU, including requirements related to transparency, risk assessment, and human oversight. Certain uses of AI, such as personalized content recommendations or behavioral analytics, could be classified under risk-based regulatory frameworks and be subject to heightened scrutiny or restrictions. We may also face requirements to disclose when content in our games is AI-generated, which could affect player perception and competitive positioning. Additionally, proposed regulations concerning the use of copyrighted materials to train AI models could affect the availability, cost, or functionality of AI tools we rely upon, or expose us to liability if our AI vendors have not obtained appropriate rights to their training data.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Nasdaq’s continued listing requirements could result in the delisting of our Class A common stock, negatively impact the price of our Class A common stock and negatively impact our ability to raise additional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Stock Market (“Nasdaq”). If we fail to satisfy the continued listing requirements of The Nasdaq Capital Market such as the corporate governance requirements, the stockholder’s equity requirement or the minimum closing bid price requirement, The Nasdaq Capital Market may take steps to de-list our Class A common stock.</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received a deficiency letter from the Listing Qualifications Department (the “Staff”) of the Nasdaq Stock Market (“Nasdaq”) notifying us that, for thirty (30) consecutive business days from November 11, 2025 through December 29, 2025, the bid price for our Class A common stock had closed below the minimum $1.00 per share requirement for continued inclusion on the Nasdaq Capital Market pursuant to Nasdaq Listing Rule 5550(a)(2) (the “Bid Price Rule”). In accordance with Nasdaq rules, we have a compliance period of 180 calendar days, or until June 29, 2026 (the “Compliance Date”), to regain compliance with the Bid Price Rule. The Staff informed us that if, at any time before the Compliance Date, the bid price for our Class A common stock closed at $1.00 or more for a minimum of ten (10) consecutive business days (or such additional number of days as Nasdaq may require), the Staff would provide written notification to us that it complied with the Bid Price Rule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monitor the closing bid price of the Class A common stock and, as appropriate, will consider available options to regain compliance with the Minimum Bid Price Requirement, including seeking to effect a reverse stock split, if necessary. While we plan to review all available options, there can be no assurance that we will be able to regain compliance with the Minimum Bid Price Requirement during the 180-calendar day compliance period or any subsequent extension period. If at any time we do not satisfy the continued listing requirements of the Nasdaq, including compliance with the Bid Price Rule, within the time frame granted by Nasdaq, our Class A common stock will be delisted from the Nasdaq. Any perception that we may not regain compliance or a delisting of our Class A common stock by Nasdaq could adversely affect our ability to attract new investors, decrease the liquidity of the outstanding shares of our Class A common stock, reduce the price at which such shares trade and increase the transaction costs inherent in trading such shares with overall negative effects for our stockholder. In addition, delisting of our Class A common stock from Nasdaq could deter broker-dealers from making a market in or otherwise seeking or generating interest in our Class A common stock, and might deter certain institutions and persons from investing in our Class A common stock. In addition, if our Class A common stock was delisted, our Class A common stock would be subject to rules that impose additional sales practice requirements on broker-dealers who sell our securities. The additional burdens imposed upon broker-dealers by these requirements could discourage broker-dealers from effecting transactions in our Class A common stock. This would adversely affect the ability of investors to trade our Class A common stock and would adversely affect the value of our Class A common stock. These factors could contribute to lower prices and larger spreads in the bid and ask prices for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recently proposed a new rule change to (i) adopt Listing Rules 5450(a)(3) and 5550(a)(6) to require issuers listed on the Nasdaq Global and Capital Markets, respectively, to maintain a minimum Market Value of Listed Securities (as defined in Nasdaq Listing Rule 5005(a)(23)) of at least $5 million for a period of thirty (30) consecutive business days, and (ii) amend Rule5810 to suspend trading and immediately delist from Nasdaq securities of issuers that do not satisfy the proposed new requirements, and Rule 5815 to set forth the procedures for requesting a hearing before a Hearings Panel and the scope of the Panel’s discretion (collectively, the “Proposed $5 Million MVLS Rule”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As of the date of the filing of this Annual Report the market value of our listed securities is less than $5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our Class A common stock is listed on Nasdaq, our shares of Class A common stock are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shares of Class A common stock would cease to be recognized as covered securities and we would be subject to regulation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in the event of a delisting, we would take actions to restore our compliance with the Nasdaq listing requirements, but we can provide no assurance that any such action taken by us would allow our Class A common stock to become listed again, stabilize the market price or improve the liquidity of our Class A common stock or prevent our Class A common stock from meeting the mandatory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intellectual property relating to our material software, the commercial value of our products will be adversely affected, and our competitive position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infringe, misappropriate, or otherwise violate or are alleged to infringe, misappropriate or otherwise violate the intellectual property rights of third parties, our business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intellectual property, which could be expensive, time-consuming and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make claims of infringement or misappropriation against third parties, or make claims that third-party intellectual property rights are invalid or unenforceable. These claims could: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incur greater costs and expenses in the protection of our intellectual property;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negatively impact our intellectual property rights, for example, by causing one or more of our intellectual property rights to be ruled or rendered unenforceable or invalid;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our technical personnel’s or management’s attention and our resources. 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3 of Part I, “Legal Proceedings.”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or our licensors may not be able to enforce our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trademarks and trade names are not adequately protected, we may not be able to build name recognition in our markets of interest and our competitive position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use open source software in connection with certain of our games and services, which may pose particular risks to our proprietary software, products, and services in a manner that could have a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some of the games and services we offer and may continue to use open source software in the future.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or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cybersecurity-related attack, significant data breach or disruption of the information technology systems or networks on which we rely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protect our data and systems against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 As our business expands to include new uses or collection of data that are subject to privacy or security regulations, our compliance requirements and costs will increase, and we may be subject to increased regulatory scrutiny. The online gaming industry in particular has attracted regulatory attention regarding issues such as in-game purchases, age verification, and the protection of younger players, and additional regulation in these areas could impact our business practices or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Trade Commission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as amended, and related regulations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A number of other U.S. states have adopted privacy laws that are similar to the CCPA. Failure to comply with the CCPA or similar state laws could result in substantial liability as a result of regulatory enforcement and private litigation. The effects of the CCPA and similar state laws are significant and have required, and could continue to require, us to modify our data collection or processing practices and policies and to incur substantial costs and expenses in an effort to comply. There currently are a number of additional proposals related to data privacy or security pending before federal, state, and foreign legislative and regulatory bodies, including in a number of U.S. states considering comprehensive consumer protection laws. These laws may restrict our ability to gather and use data about our users, and could harm our business by limiting the products and services we can offer consumers or the manner in which we advertise and offer them. Such legislation may add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 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These changes may lead to additional costs and increase our overall risk exposure.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such as China,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products are subject to potential legislation and other governmental restrictions. The adoption of such proposed legislation and restrictions could limit the retail market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 law. While no such laws are currently in place in the United States, the adoption into law of such legislation in jurisdictions in which we do significant business could severely limit the retail market for some of our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2021, China’s National Press and Publication Administration announced a regulation that required online gaming companies limit their services provided to minors to one hour per day on Fridays, Saturdays, Sundays and public holidays. We continue to assess the impact this regulation may have on our results of operations however, at this time, the impact of this regulation remains uncertain.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government regulations relating to the Internet could have a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legal proceedings that have a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and Economic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general economic conditions decline, demand for our games could decline. In addition, our business is vulnerable to changing economic conditions and to other factors that adversely affect the gaming industry,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economic factors, domestically and internationally,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energy and gasoline costs, inflation, levels of unemployment, healthcare costs, consumer debt levels, foreign-currency exchange rates, unsettled financial markets, weaknesses in housing and real estate markets, reduced consumer confidence, changes and uncertainties related to government fiscal and tax policies including changes in tax rates, duties, tariffs, or other restrictions, sovereign debt crises, and other economic factors could adversely affect demand for our products, require a change in product mix, or impact the cost of or ability to purchase inventory. Additionally, actions in various countries, particularly China and the United States, have created uncertainty with respect to tariff impacts on the costs of some of our merchandise. The degree of our exposure is dependent on (among other things) the type of goods, rates imposed, and timing of the tariffs. The impact to our business, including net sales and gross margin, will be influenced in part by merchandising and pricing strategies in response to potential cost increases by us and our competitors. While these potential impacts are uncertain, they could have an adverse affect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of certain commodities, including gasoline and consumable goods used in manufacturing and our warehouse retail operations, are historically volatile and are subject to fluctuations arising from changes in domestic and international supply and demand, labor costs, competition, market speculation, government regulations, taxes and periodic delays in delivery. Rapid and significant changes in commodity prices and our ability and desire to pass them through to our customers may affect our sales and profit margins. These factors could also increase our merchandise costs and selling, general and administrative expenses, and otherwise adversely affect our operations and financial results. General economic conditions can also be affected by changes to the U.S.’s participation in, withdrawal out of, renegotiation of certain international trade agreements or other major trade related issues, including the non-renewal of expiring favorable tariffs granted to developing countries, tariff quotas and retaliatory tariffs, trade sanctions, new or onerous trade restrictions, embargoes and other stringent government controls.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 may cause cost increases and disruptions in technical R&amp;D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or tax rulings, or the examination of our tax positions, could materially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law or tax rate changes could affect our effective tax rate and future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was (64.6)% for the year ended December 31, 2025 and 25.7% for the year ended December 31, 2024.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exchange rate fluctuations in the international markets in which we operate.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instances in which our costs and revenues related to international operations are not able to be exactly matched with respect to currency denomination. Currency fluctuations cause the U.S. dollar value of our international results of operations and net assets to vary with exchange rate fluctuations. A decrease in the value of any of these currencies relative to the U.S. dollar could have a negative impact on our business, results of operations and financial condition. We may experience economic loss and a negative impact on earnings or net assets solely as a result of foreign currency exchange rate fluctuations. In the future, we may utilize derivative instruments to manage the risk of fluctuations in foreign currency exchange rates that could potentially impact our future earnings and forecasted cash flows. However, the markets in which we operate could restrict the removal or conversion of the local or foreign currency, resulting in our inability to hedge against some or all of these risks and/or increase our cost of conversion of local currency to U.S. dollar.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reported financial results could be significantly impacted by changes in financial accounting standards or by the application of existing or future accounting standards to our business as it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debt obligations with short term durations that are coming due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significant debt obligations coming due within one year. As of December 31, 2025, our revolving loan had a balance of $5.0 million and a repayment date of June 30, 2026. Subsequent to December 31, 2025, we received an extension of our revolving loan to March 31, 2030. While we have successfully extended this obligation, there can be no assurance that we will be able to obtain further extensions or alternative financing. Other debt obligations, including the October 2025 Convertible Note and the November 2025 Convertible Note, have repayment dates during the year ending December 31, 2026.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 See Note 12 - </w:t>
      </w:r>
      <w:r>
        <w:rPr>
          <w:rFonts w:ascii="Times New Roman;Times;Serif" w:hAnsi="Times New Roman;Times;Serif"/>
          <w:b w:val="false"/>
          <w:i/>
          <w:caps w:val="false"/>
          <w:smallCaps w:val="false"/>
          <w:sz w:val="20"/>
        </w:rPr>
        <w:t>Revolving Loan, Short Term Notes and Long-Term Debt</w:t>
      </w:r>
      <w:r>
        <w:rPr>
          <w:rFonts w:ascii="Times New Roman;Times;Serif" w:hAnsi="Times New Roman;Times;Serif"/>
          <w:b w:val="false"/>
          <w:i w:val="false"/>
          <w:caps w:val="false"/>
          <w:smallCaps w:val="false"/>
          <w:sz w:val="20"/>
        </w:rPr>
        <w:t xml:space="preserve"> to our audited consolidated financial statements included in this Annual Report.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restrictive covenants as a result of our outstanding debt obligations. If we were to default in our obligation to repay any outstanding debt or otherwise violate the terms of the applicable note or loan agreement, the lenders thereunder could foreclose on our assets.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Revolving Loan, 2021 Term Loan, and the 2025 Term Loan require us to maintain a minimum debt service coverage ratio of 1.5 to 1.0. Additionally, the 2021 Revolving Loan requires us to maintain an outstanding principal balance of no more than $2.5 million for 30 consecutive days during any twelve-month period. For the trailing twelve months ended December 31, 2025, we have met the minimum debt service coverage ratio required by such debt covenants, and it is reasonably possible that we will stay in compliance with these covenants for the twelve months thereafter. Continuing to meet these debt covenants is contingent upon the estimates and judgements of our future income. Future noncompliance with the covenants, unless waived, could lead to the acceleration of payments due under the debt facilities with the lender, cause the lender to cease making advances under the revolving agreement, or allow the lender to take possession of collateral. The Term Loan is secured by a lien on our headquarters. The revolving loan is secured by a substantial portion of our other assets. There is no guarantee we will receive a waiver from any lender if the covenants of the applicable loans are breached in the future. In the event of a future breach of debt covenants the lender may have the right to declare all or any part of the debt as due immediately and cease making any advances or extend any further credit to us.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2025 Convertible Notes are ranked as senior unsecured obligations with priority over all existing and future unsecured indebtedness. This may make it more difficult to procure additional debt if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controlling stockholder, Founder, Chief Executive Officer, Chief Strategy Officer and Chairman, Mr.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 that a majority of its board of directors consist of independent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it has a compensation committee that is composed entirely of independent directors with a written charter addressing the committee’s purpose and responsibilities.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Mr. Shi, our Founder, Chief Executive Officer, Chief Strategy Officer and Chairman, controls us, and his ownership of our common stock prevents you and other stockholders from influencing significant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with respect to our business direction and policies, including the appointment and removal of officers and, in the event of a vacancy on our board of directors, additional or replacement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determinations with respect to mergers, business combinations or dispositions of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our management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composition of the committees on our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financing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and benefit programs and other human resources policy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any other agreements that may adversely affect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dividends on our common stock;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determinations with respect to our tax returns.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concentration of Mr. Shi’s ownership could also discourage others from making tender offers, which could prevent holders from receiving a premium for their common stock. Because Mr. Shi’s interests may differ from ours or from those of our other stockholders, actions that he takes with respect to us, as our controlling stockholder, may not be favorable to us or to you or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Mr. Shi, our Founder, Chief Executive Officer,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Committee on Foreign Investment in the United States may modify, delay or prevent our future acquisition or investment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Chief Executive Officer and Chairman is a Chinese national, and should he choose to reside in China you may not be able to bring suit against him, or enforce a judgment obtained against him in the United States.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Shi, our Founder, Chief Executive Officer, Chief Strategy Officer and Chairman, is a Chinese national. As a result, should he choose to reside in China, it may be more difficult for investors to effect service of process upon him, or to enforce both in the United States and outside the United States judgments against him in any action, including actions predicated upon the civil liability provisions of the federal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related to corporate and social responsibility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the impact our dual class structure may have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publish favorable research or reports about our business or may publish no information at all,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is influenced to some extent by the research and reports that industry or financial analysts publish about us and our business. We do not control these analysts.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implemented or it will enhance stockholder value, and share repurchases could affect the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December 31, 2025,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amended and restated certificate of incorporation and bylaws and under Delaware law could make an acquisition of us more difficult and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capital stock in the foreseeable future, capital appreciation, if any, will be your sole source of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Part II, Item 5 “Market for Registrant’s Common Equity, Related Stockholder Matters and Issuer Purchases of Equity Securities—Dividend Policy” for a more detailed description of our 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default on our credit obligations, our operations may be interrupted, and our business could be seriously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outstanding convertible notes, we also have a credit facility that we may draw on to finance our operations and other corporate purposes. If we default on these credit obligations, our lenders may accelerate the debt and/or foreclose on property securing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7 of Part II, “Management’s Discussion and Analysis of Financial Condition and Results of Operations - 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anticipate paying any cash dividends on our capital stock in the foreseeable future, capital appreciation, if any, will be your sole source of gain.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not required to formally attest to the effectiveness of our internal control over financial reporting until the Annual Report on Form 10-K for the first year we no longer qualify as an emerging growth company and are deemed an accelerated filer under SEC rules.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previously identified a material weakness in our internal control over financial reporting involving the failure to properly determine the fair value of warrants related to the convertible notes and equity line of credit in accordance with applicable accounting guidance. See Part II, Item 9A, “Controls and Procedures,” in this Annual Report for additional information regarding the material weakness and the remediation actions undertaken by management. Although this material weakness has been remediated, there is no assurance that we will not identify additional material weaknesses in the future, which could impact our ability to accurately and timely report financial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SEC reporting and disclosure requirements applicable to emerging growth companies or smaller reporting companies will make our securities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unclear whether investors will find our securities less attractive because we may rely on these exemptions. If some investors find our securities less attractive as a result, there may be a less active trading market for our Class A common stock and the trading price of our Class A common stock may be more volatile.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Convertible Notes Offerings, Equity Line Credit Financing and our At the 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in the convertible notes, equity line credit financing offering and in the “at the market offering program”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common stock at different times will likely pay different prices, and so may experience different levels of dilution and different outcomes in their investment results. In connection with the Equity Line of Credit Financing, we will have discretion, subject to market demand, to vary the timing, prices, and numbers of shares of common stock sold to the Equity Line Investor. Similarly, the Equity Line Investor may sell such shares of common stock at different times and at different prices. Investors may experience a decline in the value of the shares they purchase from the Equity Line Investor because of sales made by us in future transactions to the Equity Line Investor at prices lower than the prices they paid. Sales to the Equity Line Investor by us could result in substantial dilution to the interests of other holders of our Class A common stock. Additionally, the sale of a substantial number of shares of our Class A common stock to the Equity Line Investor, or the anticipation of such sales, could make it more difficult for us to sell equity or equity-related securities in the future at a time and at a price that we might otherwise wish to effect sales, which could have a materially adverse effect on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investors who purchase shares in our “at the market offering program”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our sale of shares of common stock to the Equity Line Investor and the ATM Offering, and you may not agree with how we use the proceeds and the proceeds may not be invested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with respect to the use of proceeds from the sale of any shares of our common stock to the Equity Line Investor and shares sold in the ATM Offering (as defined below). You will be relying on the judgment of our management regarding the application of the proceeds from the sale of any shares of our common stock to the Equity Line Investor and our shares sold in the ATM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pipeline product candidates and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 our Equity Line Investor to purchase up to $5.0 million worth of shares of our Class A common stock under the Equity Line Purchase Agreement until December 31, 2025, in amounts up to $1.0 million in shares of our Class A common stock depending on market prices. In addition, we have issued convertible notes to certain investors in the aggregate principal amount of $6.6 million, and we may seek to issue an additional $4.4 million in convertible notes to such investors in the future. Lastly, on August 7, 2025, we entered into an At The Market Offering Agreement (the “ATM Sales Agreement”) with H.C. Wainwright &amp; Co. as sales agent to sell shares of our Class A Common Stock from time to time in an at the market offering (“the ATM Offering”). Pursuant to a prospectus supplement, dated August 7, 2025, and accompanying base prospectus, we may offer and sell shares of our Class A Common Stock from time to time under the Sales Agreement having an aggregate offering price of up to $4,500,000 in the ATM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obtain these additional funds contains certain restrictions, such as selling shares to the Equity Line Investor and obtaining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(i.e.,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(i) the full amount available to us under the Equity Line Purchase Agreement due to the price of our Class A common stock and (ii) proceeds from the sale of additional convertible notes. In addition, any amounts we may obtain from these financing sources may not satisfy all of our funding needs, even if we are able and choose to sell and issue all of our Class A common stock currently registered.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we rely on the Equity Line Investor as a source of funding will depend on a number of factors including the prevailing market price of our Class A common stock and the extent to which we are able to secure working capital from other sources, such as from the sale of convertible notes. If obtaining sufficient funding from the Equity Line Investor were to prove unavailable or prohibitively dilutive, we would need to secure a third source of funding in order to satisfy our working capital needs. Even if we sell all $5.0 million in shares of our Class A common stock under the Equity Line Purchase Agreement to the Equity Line Investor and issue an additional $5.5 million in convertible notes,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placement notices to the Sales Agent in the ATM Offering at any time throughout the term of the sales agreement. The number of shares of Class A Common Stock that are sold by the Sales Agent as our Sales Agent after we deliver a placement notice will fluctuate based on the market price of the Class A Common Stock and the trading volume of our Class A Common Stock during the sales period and limits we set with the Sales Agent. In addition, we may issue and sell shares of our Class A Common Stock having aggregate gross proceeds of up to $4,500,000 from time to time in the ATM Offering. Because there is no minimum offering amount required as a condition of the ATM Offering, the actual total offering amount in such offering, commissions and proceeds to us, if any, are not determinable at this time. The amount of proceeds from the ATM Offering will depend upon the number of shares of our Class A Common Stock sold and the market price at which they are sold. There can be no assurance that we will be able to sell any shares of our Class A Common Stock under or fully utilize the Sales Agreement with the Sales Agent as a source of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Class A common stock to the holders of the 2025 Convertible Notes may cause substantial dilution to our existing stockholders, and the sale of such shares acquired by the holders of our 2025 Convertible Note could cause the price of our Class A common stock to decline.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for resale up to an aggregate of 5,414,991 shares of Class A common stock issuable upon the conversion of the currently outstanding 2025 Convertible Notes. However, because the conversion price applicable to the 2025 Convertible Notes can vary, the number of shares of Class A common stock that may be issued could be greater than the number of shares currently so registered. The number of shares so registered is a significant number of compared to the current number of shares of Class A common stock in the public market. Sales of substantial amounts of Class A common stock in the public market, or the perception that such sales might occur, could adversely affect the market price of our Class A common stock. We cannot predict if and when the holders of the 2025 Convertible Notes may sell any conversion shares in the public markets. Furthermore, in the future, we may issue additional Class A common stock or other equity or debt securities exercisable or convertible into Class A common stock. Any such issuance could result in substantial dilution to our existing shareholders and could cause the market price of our securities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our strategic digital asset initiative, and implementing such initiative may subject us to various licensing requirements and significant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announced our intention to explore a strategic digital asset initiative that includes the evaluation and feasibility of our own proprietary stablecoin backed by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stablecoins and digital assets is rapidly evolving in the United States and globally. There is a significant uncertainty regarding how federal and state regulators will apply existing laws, implement Guiding and Establishing National Innovation for U.S. Stablecoins Act of 2025 (GENIUS Act of 2025) or adopt new regulations with respect to stablecoin issuances. Changes in laws, regulations, or interpretations could require us to modify or cease our strategic digital asset or stablecoin initiative, subject us to possible enforcement actions, or result in significant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seek additional capital to implement our strategic digital asset and stablecoin initiative as we may be required to be licensed as a money transmitter, payment services provider, bank, financial institution, custodian, broker-dealer, exchange, or otherwise in the United States or other jurisdictions which could result in significant costs and have a negative impact on our business, operational result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regarding stablecoins or the broader digital asset industry may have an outsized negative effect on consumer confidence in our proposed proprietary stablecoins.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case with other novel technology, compared to more established and well-known industries, any negative publicity regarding blockchain technology and digital assets companies could have an outsized negative effect on confidence in blockchain technology in general and our proposed proprietary stablecoins in particular. For example, since the inception of blockchain technology, there have been incidents of smart contract developers acting maliciously and misappropriating funds, and numerous digital assets businesses and platforms have been sued, investigated, or shut down due to fraud, illegal activities, the sale or issuance of unregistered securities, manipulative practices, business failure, and cyberattacks or security breaches. In addition, the energy usage and environmental impact of certain blockchains have attracted considerable attention, which could potentially create a negative consumer sentiment and perception of digital assets and delay a wider acceptance and use of our proposed proprietary stablecoins, whether or not our proposed stablecoins are available on those blockchains.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q_001"/>
      <w:bookmarkEnd w:id="42"/>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q_002"/>
      <w:bookmarkEnd w:id="43"/>
      <w:r>
        <w:rPr>
          <w:rFonts w:ascii="Times New Roman;Times;Serif" w:hAnsi="Times New Roman;Times;Serif"/>
          <w:b/>
          <w:i w:val="false"/>
          <w:caps w:val="false"/>
          <w:smallCaps w:val="false"/>
          <w:sz w:val="20"/>
        </w:rPr>
        <w:t>Item 1C. Cybersecurity Risk Management, Strategy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xdx_984_ecyd--CybersecurityRiskManagemen"/>
      <w:bookmarkEnd w:id="44"/>
      <w:r>
        <w:rPr>
          <w:rFonts w:ascii="Times New Roman;Times;Serif" w:hAnsi="Times New Roman;Times;Serif"/>
          <w:b/>
          <w:i w:val="false"/>
          <w:caps w:val="false"/>
          <w:smallCaps w:val="false"/>
          <w:sz w:val="20"/>
        </w:rPr>
        <w:t>Cybersecurity Risk Management</w:t>
      </w:r>
    </w:p>
    <w:p>
      <w:pPr>
        <w:pStyle w:val="TextBody"/>
        <w:bidi w:val="0"/>
        <w:spacing w:before="0" w:after="0"/>
        <w:ind w:left="0" w:right="0" w:hanging="0"/>
        <w:jc w:val="both"/>
        <w:rPr>
          <w:caps w:val="false"/>
          <w:smallCaps w:val="false"/>
        </w:rPr>
      </w:pPr>
      <w:bookmarkStart w:id="45" w:name="xdx_C04_gBFCRMPFAIAMT-CZO_zzqb8yHrtwej"/>
      <w:bookmarkEnd w:id="4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nature of our business, we face a variety of potential cybersecurity risks that are ever evolving and include unauthorized access to our systems and data, disruption of our online game services, theft of intellectual property, and </w:t>
      </w:r>
      <w:bookmarkStart w:id="46" w:name="xdx_901_ecyd--CybersecurityRiskManagemen"/>
      <w:bookmarkEnd w:id="46"/>
      <w:r>
        <w:rPr>
          <w:rFonts w:ascii="Times New Roman;Times;Serif" w:hAnsi="Times New Roman;Times;Serif"/>
          <w:b w:val="false"/>
          <w:i w:val="false"/>
          <w:caps w:val="false"/>
          <w:smallCaps w:val="false"/>
          <w:sz w:val="20"/>
        </w:rPr>
        <w:t xml:space="preserve">third-party risks as a result of our use of various third party service providers and cloud service providers. The Company’s risks related to our end user data is borne by our platform partners as we do not maintain any sensitive information of our players within our infrastructure. There have been </w:t>
      </w:r>
      <w:bookmarkStart w:id="47" w:name="xdx_90D_ecyd--CybersecurityRiskMateriall"/>
      <w:bookmarkEnd w:id="47"/>
      <w:r>
        <w:rPr>
          <w:rFonts w:ascii="Times New Roman;Times;Serif" w:hAnsi="Times New Roman;Times;Serif"/>
          <w:b w:val="false"/>
          <w:i w:val="false"/>
          <w:caps w:val="false"/>
          <w:smallCaps w:val="false"/>
          <w:sz w:val="20"/>
        </w:rPr>
        <w:t>no cybersecurity threat events identified during the year ended December 31, 2025, that have resulted in a material incident, or are reasonably likely to result in a material impact on our business strategy, results of operations or financial condition. For more information regarding risks relating to intellectual property and cybersecurity related attacks, see Item 1A of Part I, “Risk Factors — Risks Related to Intellectual Property” and “Risk Factors — Risks Related to Our Business and Industry”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working towards the implementation of relevant controls within the National Institute of Standards and Technology (“NIST”) Cybersecurity Framework to better address cybersecurity threats and we actively maintain a risk management plan that outlines the processes and procedures we use to identify, assess, mitigate and respond to cybersecurity risks. The plan is designed to protect the Company’s assets and safeguard the confidentiality, integrity and availability of its data and operations. </w:t>
      </w:r>
      <w:bookmarkStart w:id="48" w:name="xdx_905_ecyd--CybersecurityRiskManagemen"/>
      <w:bookmarkEnd w:id="48"/>
      <w:r>
        <w:rPr>
          <w:rFonts w:ascii="Times New Roman;Times;Serif" w:hAnsi="Times New Roman;Times;Serif"/>
          <w:b w:val="false"/>
          <w:i w:val="false"/>
          <w:caps w:val="false"/>
          <w:smallCaps w:val="false"/>
          <w:sz w:val="20"/>
        </w:rPr>
        <w:t xml:space="preserve">Our cybersecurity risk management plan is </w:t>
      </w:r>
      <w:bookmarkStart w:id="49" w:name="xdx_908_ecyd--CybersecurityRiskManagemen"/>
      <w:bookmarkEnd w:id="49"/>
      <w:r>
        <w:rPr>
          <w:rFonts w:ascii="Times New Roman;Times;Serif" w:hAnsi="Times New Roman;Times;Serif"/>
          <w:b w:val="false"/>
          <w:i w:val="false"/>
          <w:caps w:val="false"/>
          <w:smallCaps w:val="false"/>
          <w:sz w:val="20"/>
        </w:rPr>
        <w:t>integrated into the Company’s overall risk management process and establishes a clear framework with roles and responsibilities for managing cybersecurity risks. The Company currently uses a variety of security controls, including but not limited to firewalls, intrusion detection systems, data encryption in transit and at rest, and multi-factor authentication. We provide regular training to our employees and educate them on cybersecurity risks and best practices to mitigate these risks. The Company also maintains a comprehensive incident response plan to detect, respond to, assess the materiality of, and recover from cybersecurity incidents effectively.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0" w:name="xdx_C00_gBFCRMPFAIAMT-CZO_zMm50B2Zio9h"/>
      <w:bookmarkEnd w:id="5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1" w:name="xdx_901_ecyd--CybersecurityRiskBoardComm"/>
      <w:bookmarkEnd w:id="51"/>
      <w:r>
        <w:rPr>
          <w:rFonts w:ascii="Times New Roman;Times;Serif" w:hAnsi="Times New Roman;Times;Serif"/>
          <w:b w:val="false"/>
          <w:i w:val="false"/>
          <w:caps w:val="false"/>
          <w:smallCaps w:val="false"/>
          <w:sz w:val="20"/>
        </w:rPr>
        <w:t xml:space="preserve">The Company’s executive management considers cybersecurity risk and other information technology risk as part of its risk oversight and has the ultimate responsibility for overseeing our cybersecurity strategy. Furthermore, one member of our Board of Directors has an extensive history in cybersecurity and a deep understanding of cybersecurity threats which may have a material impact on our business and the video game industry as a whole. Our Director of IT holds operational responsibility for cybersecurity and maintains a suite of industry-standard tools to maintain consistent confidentiality, integrity and availability of Company systems and data. Suspicious activity within Company networks and systems are investigated and assessed by the Director of IT and then reported to the executive management team. </w:t>
      </w:r>
      <w:bookmarkStart w:id="52" w:name="xdx_909_ecyd--CybersecurityRiskProcessFo"/>
      <w:bookmarkEnd w:id="52"/>
      <w:r>
        <w:rPr>
          <w:rFonts w:ascii="Times New Roman;Times;Serif" w:hAnsi="Times New Roman;Times;Serif"/>
          <w:b w:val="false"/>
          <w:i w:val="false"/>
          <w:caps w:val="false"/>
          <w:smallCaps w:val="false"/>
          <w:sz w:val="20"/>
        </w:rPr>
        <w:t>Verified incidents are also communicated to the Board of Directors. On a quarterly basis, the Director of IT reports cybersecurity monitoring updates to the CEO, coordinates with the aforementioned Board Member to implement our information technology and cybersecurity programs, as well as with our HR Manager to ensure that the Company’s employees have the adequate training on cybersecurity best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sq_003"/>
      <w:bookmarkEnd w:id="53"/>
      <w:r>
        <w:rPr>
          <w:rFonts w:ascii="Times New Roman;Times;Serif" w:hAnsi="Times New Roman;Times;Serif"/>
          <w:b/>
          <w:i w:val="false"/>
          <w:caps w:val="false"/>
          <w:smallCaps w:val="false"/>
          <w:sz w:val="20"/>
        </w:rPr>
        <w:t>Item 2.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lease approximately 10,100 square feet of office space located in Beverly Hills, California under an operating lease that expires on January 31, 2033. We also own a two-story office building consisting of approximately 5,910 square feet of office space on 7,163 square feet of land in Culver City, California. We believe that these facilities are sufficient to meet our current and anticipated needs in the near term and that additional space can be obtained on commercially reasonable terms as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sq_004"/>
      <w:bookmarkEnd w:id="54"/>
      <w:r>
        <w:rPr>
          <w:rFonts w:ascii="Times New Roman;Times;Serif" w:hAnsi="Times New Roman;Times;Serif"/>
          <w:b/>
          <w:i w:val="false"/>
          <w:caps w:val="false"/>
          <w:smallCaps w:val="false"/>
          <w:sz w:val="20"/>
        </w:rPr>
        <w:t>Item 3.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8 of Part II, “Consolidated Financial Statements—Note 18—Commitments and Contingencies-Litigation.”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sq_005"/>
      <w:bookmarkEnd w:id="5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sq_006"/>
      <w:bookmarkEnd w:id="56"/>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q_007"/>
      <w:bookmarkEnd w:id="57"/>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 for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and trades under the symbol “SNAL”. Public trading of our stock began on November 10, 2022. Prior to that, there was no public market for our Class A common stock. The closing price of our Class A common stock on the Nasdaq Capital Market on March 16, 2026, was $0.563.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number of record holders of our Class A common stock as of March 16, 2026 was three, including Equiniti Trust Company, LLC, which holds shares of our Class A common stock on behalf of an indeterminate number of beneficial owners. The number of record holders of our Class B common stock as of March 20, 2026 was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if any, to fund the development and expansion of our business and we do not anticipate paying any cash dividends in the foreseeable future. Except for a one-time special dividend in connection with our distribution of the Shareholder Loan (as defined herein), we have not paid any cash dividends.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credit facilities. Our ability to pay cash dividends on our capital stock in the future may also be limited by the terms of any preferred securities we may issue or agreements governing any additional indebtedness we may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American Stock Transfer &amp;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Performance 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we are not required to provide this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previously disclosed in our filings with the SEC, we did not issue any securities that were not registered under the Securities Act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60"/>
        <w:gridCol w:w="298"/>
        <w:gridCol w:w="1295"/>
        <w:gridCol w:w="60"/>
        <w:gridCol w:w="60"/>
        <w:gridCol w:w="454"/>
        <w:gridCol w:w="845"/>
        <w:gridCol w:w="60"/>
        <w:gridCol w:w="60"/>
        <w:gridCol w:w="500"/>
        <w:gridCol w:w="2181"/>
        <w:gridCol w:w="60"/>
        <w:gridCol w:w="60"/>
        <w:gridCol w:w="1044"/>
        <w:gridCol w:w="1943"/>
        <w:gridCol w:w="80"/>
      </w:tblGrid>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 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Price Paid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 Shares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Dollar Value of Shares that May Yet Be Purchased under the Plans or Programs</w:t>
            </w:r>
          </w:p>
        </w:tc>
        <w:tc>
          <w:tcPr>
            <w:tcW w:w="8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 except per share amounts</w:t>
            </w:r>
          </w:p>
        </w:tc>
        <w:tc>
          <w:tcPr>
            <w:tcW w:w="8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Period</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January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February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March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April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May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June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July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August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September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October 2025</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November 2025</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21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December 2025</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4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4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fiscal years ended December 31, 2025 and 2024 were open market transactions. As of December 31, 2025,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to our consolidated financial statements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q_008"/>
      <w:bookmarkEnd w:id="58"/>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sq_009"/>
      <w:bookmarkEnd w:id="59"/>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and the related notes included elsewhere in this Annual Report on Form 10-K (the “Annual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“Risk Factors,” in Part I, Item 1A of this Annual Report, and the “Cautionary Statement Regarding Forward-Looking Statements” section of this Annual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highlighted by </w:t>
      </w:r>
      <w:r>
        <w:rPr>
          <w:rFonts w:ascii="Times New Roman;Times;Serif" w:hAnsi="Times New Roman;Times;Serif"/>
          <w:b w:val="false"/>
          <w:i/>
          <w:caps w:val="false"/>
          <w:smallCaps w:val="false"/>
          <w:sz w:val="20"/>
        </w:rPr>
        <w:t xml:space="preserve">ARK: Survival Evolved, </w:t>
      </w:r>
      <w:r>
        <w:rPr>
          <w:rFonts w:ascii="Times New Roman;Times;Serif" w:hAnsi="Times New Roman;Times;Serif"/>
          <w:b w:val="false"/>
          <w:i w:val="false"/>
          <w:caps w:val="false"/>
          <w:smallCaps w:val="false"/>
          <w:sz w:val="20"/>
        </w:rPr>
        <w:t xml:space="preserve">which has consistently ranked among top-grossing titles on Steam.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is a leader within the sandbox survival genre with 108.7 million console and PC installs through December 31, 2025 and repeated releases within the top-grossing games on the Steam platform. See below for discussion of key performance metrics and non-GAAP measures. During the fiscal year ended December 31, 2025,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 xml:space="preserve">combined for an average total of 224,000 daily active users (“DAUs”) on the Steam and Epic platforms, as compared to 213,000 in the fiscal year ended December 31, 2024. We define “daily active users” as the number of unique users who play any given game on any given day. For the years ended December 31, 2025 and 2024, we generated 89.4% and 85.1%, respectively, of our revenues from the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dedication to providing audiences with high-quality entertainment experiences utilizing the latest gaming technology has produced strong user engagement, continued revenue growth, and increased cash flows. Through December 31, 2025,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game has been played for 4.3 billion hours with an average playing time per user of 161.4 hours and with the top 21.5% of all players spending over 100 hours in the game, according to data from the Steam platform. For the years ended December 31, 2025 and 2024, our net revenue was $81.2 million and $84.5 million, respectively. During the year ended December 31, 2025, approximately 38.4% of our revenue came from consoles, 49.7% from PC and 9.6% from mobile platforms as compared to 42.4% from consoles, 48.1% from PC and 5.5% from mobile platforms during the year ended December 31, 2024. For the year ended December 31, 2025, we had a net loss of $27.2 million, as compared to net income of $1.8 million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affect the performance of our business, and the comparability of our results from period to period,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content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Times;Serif" w:hAnsi="Times New Roman;Times;Serif"/>
          <w:b w:val="false"/>
          <w:i/>
          <w:caps w:val="false"/>
          <w:smallCaps w:val="false"/>
          <w:sz w:val="20"/>
        </w:rPr>
        <w:t>NOIZ</w:t>
      </w:r>
      <w:r>
        <w:rPr>
          <w:rFonts w:ascii="Times New Roman;Times;Serif" w:hAnsi="Times New Roman;Times;Serif"/>
          <w:b w:val="false"/>
          <w:i w:val="false"/>
          <w:caps w:val="false"/>
          <w:smallCaps w:val="false"/>
          <w:sz w:val="20"/>
        </w:rPr>
        <w:t>, by attracting new influencers and brand customers. We have established a new division internally under the Interactive Films brand. This division will focus on creating content in the vertical short film segment of the digital entertainment market. As of December 31, 2025, we have released 140 short film dramas including licensed films from external organizations and expect a consistent roll out of new short film dramas.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of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experienced significant growth in our number of downloads over the last several years. We have sold 56.2 million units between January 1, 2016 and December 31, 2025. During the year ended December 31, 2025, we sold 6.3 million units compared to 4.7 million in the year ended December 31, 2024.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is our master game and </w:t>
      </w:r>
      <w:r>
        <w:rPr>
          <w:rFonts w:ascii="Times New Roman;Times;Serif" w:hAnsi="Times New Roman;Times;Serif"/>
          <w:b w:val="false"/>
          <w:i/>
          <w:caps w:val="false"/>
          <w:smallCaps w:val="false"/>
          <w:sz w:val="20"/>
        </w:rPr>
        <w:t>ARK: Genesis</w:t>
      </w:r>
      <w:r>
        <w:rPr>
          <w:rFonts w:ascii="Times New Roman;Times;Serif" w:hAnsi="Times New Roman;Times;Serif"/>
          <w:b w:val="false"/>
          <w:i w:val="false"/>
          <w:caps w:val="false"/>
          <w:smallCaps w:val="false"/>
          <w:sz w:val="20"/>
        </w:rPr>
        <w:t xml:space="preserve"> is a DLC.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our 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Furthermore, to accompany our entry into the vertical short film market, we have developed a distribution platform,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mobile application that allows users to access the content on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release content, market effectively through cross media and expand the gaming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relationship with developers, Studio Wildcard &amp;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franchise. We have an exclusive license with Studio Wildcard for rights to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with third party distribution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nearly all of our revenue from third-party distribution platforms, these include but are not limited to, Xbox Live and Game Pass, PlayStation Network, Steam, Epic Games Store, the Apple App Store, the Google Play Store and My Nintendo 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we accelerated the expansion and monetization of our core franchises across console, PC, and mobile platforms. We released multiple high-impact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DLC expansions, including </w:t>
      </w:r>
      <w:r>
        <w:rPr>
          <w:rFonts w:ascii="Times New Roman;Times;Serif" w:hAnsi="Times New Roman;Times;Serif"/>
          <w:b w:val="false"/>
          <w:i/>
          <w:caps w:val="false"/>
          <w:smallCaps w:val="false"/>
          <w:sz w:val="20"/>
        </w:rPr>
        <w:t>ARK: Astraeos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and launched the highly anticipated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in December 2025. The pre-sale performance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from June through November 2025 exceeded expectations with over 372K units sold.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the base game, continued to deliver robust results in 2025. The inclusion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on PlayStation Plus in May 2025 generated over 8 million downloads and expanded the franchise’s console footprint, with a corresponding uplift in DLC sales. Live-ops execution further strengthened engagement, as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’s two major content updates drove increased engagement among our fans. On mobile,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surpassed 10 million downloads in 2025, reinforcing our multi-platform strategy. We also broadened our gaming portfolio with three game acquisitions, six indie releases, and new in-house IP announcements, underscoring our commitment to sustained franchise growth and diversified content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Beyond gaming, we advanced our Film and TV, and Digital Asset initiatives to diversify revenue streams and strengthen our ecosystem. Our short-form mobile app,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released 140 short film dramas as of December 31, 2025, and continues to scale production under a strategic Memorandum of Understanding with Mega Matrix Inc. focused on joint development and global distribution. We also expanded into interactive full-motion video games with </w:t>
      </w:r>
      <w:r>
        <w:rPr>
          <w:rFonts w:ascii="Times New Roman;Times;Serif" w:hAnsi="Times New Roman;Times;Serif"/>
          <w:b w:val="false"/>
          <w:i/>
          <w:caps w:val="false"/>
          <w:smallCaps w:val="false"/>
          <w:sz w:val="20"/>
        </w:rPr>
        <w:t>The Fame Game: Welcome to Hollywood</w:t>
      </w:r>
      <w:r>
        <w:rPr>
          <w:rFonts w:ascii="Times New Roman;Times;Serif" w:hAnsi="Times New Roman;Times;Serif"/>
          <w:b w:val="false"/>
          <w:i w:val="false"/>
          <w:caps w:val="false"/>
          <w:smallCaps w:val="false"/>
          <w:sz w:val="20"/>
        </w:rPr>
        <w:t>, deepening user engagement through narrative-driven experiences. In parallel, we announced a strategic digital asset initiative to evaluate the launch of a proprietary stablecoin designed to enable secured digital payments across our entertainment ecosystem. At our December 2025 Investor Day event, we unveiled the stablecoin’s official branding and symbolically minted the first coin, marking a significant milestone in positioning the Company at the forefront of digital innovation within the interactive entertainment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Gaming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released a brand new DLC map for </w:t>
      </w:r>
      <w:r>
        <w:rPr>
          <w:rFonts w:ascii="Times New Roman;Times;Serif" w:hAnsi="Times New Roman;Times;Serif"/>
          <w:b w:val="false"/>
          <w:i/>
          <w:caps w:val="false"/>
          <w:smallCaps w:val="false"/>
          <w:sz w:val="20"/>
        </w:rPr>
        <w:t>ARK: Survival Ascended, ARK: Astraeos</w:t>
      </w:r>
      <w:r>
        <w:rPr>
          <w:rFonts w:ascii="Times New Roman;Times;Serif" w:hAnsi="Times New Roman;Times;Serif"/>
          <w:b w:val="false"/>
          <w:i w:val="false"/>
          <w:caps w:val="false"/>
          <w:smallCaps w:val="false"/>
          <w:sz w:val="20"/>
        </w:rPr>
        <w:t>. This expansive Greek mythology map offers over 264-square kilometers of playable area, filled with stunning scenery, ancient ruins, sacred temples, and powerful new bosses. Since release, we sold 671,000 units across Steam, PlayStation, and Xbox. We have also completed two new game acquisitions through our gaming network and partners as part of the larger effort to expand our games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Game Developers Conference (GDC) in March 2025, we officially announced the 10-year celebration of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with a brand new DLC, </w:t>
      </w:r>
      <w:r>
        <w:rPr>
          <w:rFonts w:ascii="Times New Roman;Times;Serif" w:hAnsi="Times New Roman;Times;Serif"/>
          <w:b w:val="false"/>
          <w:i/>
          <w:caps w:val="false"/>
          <w:smallCaps w:val="false"/>
          <w:sz w:val="20"/>
        </w:rPr>
        <w:t>ARK: Aquatica</w:t>
      </w:r>
      <w:r>
        <w:rPr>
          <w:rFonts w:ascii="Times New Roman;Times;Serif" w:hAnsi="Times New Roman;Times;Serif"/>
          <w:b w:val="false"/>
          <w:i w:val="false"/>
          <w:caps w:val="false"/>
          <w:smallCaps w:val="false"/>
          <w:sz w:val="20"/>
        </w:rPr>
        <w:t xml:space="preserve">, released in July 2025. The new non-canonical expansion map features an ambitious underwater setting where 95% of gameplay will take place beneath the surface.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we announced a new full-size canonical DLC expansion,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that sets in a frozen world where players follow legendary survivor Mei Yin on a perilous quest to uncover </w:t>
      </w:r>
      <w:r>
        <w:rPr>
          <w:rFonts w:ascii="Times New Roman;Times;Serif" w:hAnsi="Times New Roman;Times;Serif"/>
          <w:b w:val="false"/>
          <w:i/>
          <w:caps w:val="false"/>
          <w:smallCaps w:val="false"/>
          <w:sz w:val="20"/>
        </w:rPr>
        <w:t>ARK’s</w:t>
      </w:r>
      <w:r>
        <w:rPr>
          <w:rFonts w:ascii="Times New Roman;Times;Serif" w:hAnsi="Times New Roman;Times;Serif"/>
          <w:b w:val="false"/>
          <w:i w:val="false"/>
          <w:caps w:val="false"/>
          <w:smallCaps w:val="false"/>
          <w:sz w:val="20"/>
        </w:rPr>
        <w:t xml:space="preserve"> buried secrets.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’s presale launched in June 2025 and the DLC released to the public in December 2025. We have also debut teaser trailers for two in-house developed projects, </w:t>
      </w:r>
      <w:r>
        <w:rPr>
          <w:rFonts w:ascii="Times New Roman;Times;Serif" w:hAnsi="Times New Roman;Times;Serif"/>
          <w:b w:val="false"/>
          <w:i/>
          <w:caps w:val="false"/>
          <w:smallCaps w:val="false"/>
          <w:sz w:val="20"/>
        </w:rPr>
        <w:t>Nine Yin Sutra: Wushu</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Nine Yin Sutra: Immortal</w:t>
      </w:r>
      <w:r>
        <w:rPr>
          <w:rFonts w:ascii="Times New Roman;Times;Serif" w:hAnsi="Times New Roman;Times;Serif"/>
          <w:b w:val="false"/>
          <w:i w:val="false"/>
          <w:caps w:val="false"/>
          <w:smallCaps w:val="false"/>
          <w:sz w:val="20"/>
        </w:rPr>
        <w:t>. These two original titles invite players into vast, immersive worlds shaped by martial arts mastery and cultivation.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Shortly after GDC, on April 23, 2025, we released a major content update to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in the way of celebrating its one-year anniversary. Content update includes 200+ enhancements across visual, audio &amp; gameplay quality-of-life. In the subsequent month, we saw 1.5x units sold compared to one month prior. In keeping up with the momentum of the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announcement, </w:t>
      </w:r>
      <w:r>
        <w:rPr>
          <w:rFonts w:ascii="Times New Roman;Times;Serif" w:hAnsi="Times New Roman;Times;Serif"/>
          <w:b w:val="false"/>
          <w:i/>
          <w:caps w:val="false"/>
          <w:smallCaps w:val="false"/>
          <w:sz w:val="20"/>
        </w:rPr>
        <w:t>ARK: Survival Ascended (“ASA”)</w:t>
      </w:r>
      <w:r>
        <w:rPr>
          <w:rFonts w:ascii="Times New Roman;Times;Serif" w:hAnsi="Times New Roman;Times;Serif"/>
          <w:b w:val="false"/>
          <w:i w:val="false"/>
          <w:caps w:val="false"/>
          <w:smallCaps w:val="false"/>
          <w:sz w:val="20"/>
        </w:rPr>
        <w:t xml:space="preserve"> was added to the PlayStation Plus subscription program and made available free of charge to any PlayStation Plus subscribers. The inclusion proved a major success, driving a surge in downloads with over 8 million installs and significantly expanding the player base, further cementing </w:t>
      </w:r>
      <w:r>
        <w:rPr>
          <w:rFonts w:ascii="Times New Roman;Times;Serif" w:hAnsi="Times New Roman;Times;Serif"/>
          <w:b w:val="false"/>
          <w:i/>
          <w:caps w:val="false"/>
          <w:smallCaps w:val="false"/>
          <w:sz w:val="20"/>
        </w:rPr>
        <w:t>ARK’s</w:t>
      </w:r>
      <w:r>
        <w:rPr>
          <w:rFonts w:ascii="Times New Roman;Times;Serif" w:hAnsi="Times New Roman;Times;Serif"/>
          <w:b w:val="false"/>
          <w:i w:val="false"/>
          <w:caps w:val="false"/>
          <w:smallCaps w:val="false"/>
          <w:sz w:val="20"/>
        </w:rPr>
        <w:t xml:space="preserve"> presence on console. During the inclusion month, we also saw a healthy uplift in </w:t>
      </w:r>
      <w:r>
        <w:rPr>
          <w:rFonts w:ascii="Times New Roman;Times;Serif" w:hAnsi="Times New Roman;Times;Serif"/>
          <w:b w:val="false"/>
          <w:i/>
          <w:caps w:val="false"/>
          <w:smallCaps w:val="false"/>
          <w:sz w:val="20"/>
        </w:rPr>
        <w:t>ASA</w:t>
      </w:r>
      <w:r>
        <w:rPr>
          <w:rFonts w:ascii="Times New Roman;Times;Serif" w:hAnsi="Times New Roman;Times;Serif"/>
          <w:b w:val="false"/>
          <w:i w:val="false"/>
          <w:caps w:val="false"/>
          <w:smallCaps w:val="false"/>
          <w:sz w:val="20"/>
        </w:rPr>
        <w:t xml:space="preserve"> DLC sales on PlayStation.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2025, </w:t>
      </w:r>
      <w:r>
        <w:rPr>
          <w:rFonts w:ascii="Times New Roman;Times;Serif" w:hAnsi="Times New Roman;Times;Serif"/>
          <w:b w:val="false"/>
          <w:i/>
          <w:caps w:val="false"/>
          <w:smallCaps w:val="false"/>
          <w:sz w:val="20"/>
        </w:rPr>
        <w:t>ARK: Lost Colony Expansion Pass</w:t>
      </w:r>
      <w:r>
        <w:rPr>
          <w:rFonts w:ascii="Times New Roman;Times;Serif" w:hAnsi="Times New Roman;Times;Serif"/>
          <w:b w:val="false"/>
          <w:i w:val="false"/>
          <w:caps w:val="false"/>
          <w:smallCaps w:val="false"/>
          <w:sz w:val="20"/>
        </w:rPr>
        <w:t xml:space="preserve"> pre-sale went live across Steam, PlayStation, and Xbox. To deepen our commitment to our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fans, we have included a brand-new </w:t>
      </w:r>
      <w:r>
        <w:rPr>
          <w:rFonts w:ascii="Times New Roman;Times;Serif" w:hAnsi="Times New Roman;Times;Serif"/>
          <w:b w:val="false"/>
          <w:i/>
          <w:caps w:val="false"/>
          <w:smallCaps w:val="false"/>
          <w:sz w:val="20"/>
        </w:rPr>
        <w:t>ARK: Fantastic Tames – Drakelings</w:t>
      </w:r>
      <w:r>
        <w:rPr>
          <w:rFonts w:ascii="Times New Roman;Times;Serif" w:hAnsi="Times New Roman;Times;Serif"/>
          <w:b w:val="false"/>
          <w:i w:val="false"/>
          <w:caps w:val="false"/>
          <w:smallCaps w:val="false"/>
          <w:sz w:val="20"/>
        </w:rPr>
        <w:t xml:space="preserve"> as part of the pre-sale expansion pass. On October 7, 2025, we further enhanced the value of </w:t>
      </w:r>
      <w:r>
        <w:rPr>
          <w:rFonts w:ascii="Times New Roman;Times;Serif" w:hAnsi="Times New Roman;Times;Serif"/>
          <w:b w:val="false"/>
          <w:i/>
          <w:caps w:val="false"/>
          <w:smallCaps w:val="false"/>
          <w:sz w:val="20"/>
        </w:rPr>
        <w:t>ARK: Lost Colony Expansion Pass</w:t>
      </w:r>
      <w:r>
        <w:rPr>
          <w:rFonts w:ascii="Times New Roman;Times;Serif" w:hAnsi="Times New Roman;Times;Serif"/>
          <w:b w:val="false"/>
          <w:i w:val="false"/>
          <w:caps w:val="false"/>
          <w:smallCaps w:val="false"/>
          <w:sz w:val="20"/>
        </w:rPr>
        <w:t xml:space="preserve"> by adding a completely new </w:t>
      </w:r>
      <w:r>
        <w:rPr>
          <w:rFonts w:ascii="Times New Roman;Times;Serif" w:hAnsi="Times New Roman;Times;Serif"/>
          <w:b w:val="false"/>
          <w:i/>
          <w:caps w:val="false"/>
          <w:smallCaps w:val="false"/>
          <w:sz w:val="20"/>
        </w:rPr>
        <w:t>ARK: Fantastic Tames – Elderclaw</w:t>
      </w:r>
      <w:r>
        <w:rPr>
          <w:rFonts w:ascii="Times New Roman;Times;Serif" w:hAnsi="Times New Roman;Times;Serif"/>
          <w:b w:val="false"/>
          <w:i w:val="false"/>
          <w:caps w:val="false"/>
          <w:smallCaps w:val="false"/>
          <w:sz w:val="20"/>
        </w:rPr>
        <w:t xml:space="preserve"> to the bundle. The pre-sale exceeded our expectations, selling over 372,000 units through November 30, 2025. Furthermore, to broaden our portfolio offerings beyond the sandbox survival genre, we have released six indies games that cater to a broader set of audience throughout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we released the “</w:t>
      </w:r>
      <w:r>
        <w:rPr>
          <w:rFonts w:ascii="Times New Roman;Times;Serif" w:hAnsi="Times New Roman;Times;Serif"/>
          <w:b w:val="false"/>
          <w:i/>
          <w:caps w:val="false"/>
          <w:smallCaps w:val="false"/>
          <w:sz w:val="20"/>
        </w:rPr>
        <w:t>Maiden Voyage</w:t>
      </w:r>
      <w:r>
        <w:rPr>
          <w:rFonts w:ascii="Times New Roman;Times;Serif" w:hAnsi="Times New Roman;Times;Serif"/>
          <w:b w:val="false"/>
          <w:i w:val="false"/>
          <w:caps w:val="false"/>
          <w:smallCaps w:val="false"/>
          <w:sz w:val="20"/>
        </w:rPr>
        <w:t xml:space="preserve">” content update for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representing a meaningful live-ops milestone designed to expand gameplay depth, enhance player progress systems, and introduce new in-game content to support long-term engagement.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units sold in December 2025 were 10.7x the monthly average units in the prior six months, a reflection of the success of the content update.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19, 2025, </w:t>
      </w:r>
      <w:r>
        <w:rPr>
          <w:rFonts w:ascii="Times New Roman;Times;Serif" w:hAnsi="Times New Roman;Times;Serif"/>
          <w:b w:val="false"/>
          <w:i/>
          <w:caps w:val="false"/>
          <w:smallCaps w:val="false"/>
          <w:sz w:val="20"/>
        </w:rPr>
        <w:t>ARK: Lost Colony Expansion Pass</w:t>
      </w:r>
      <w:r>
        <w:rPr>
          <w:rFonts w:ascii="Times New Roman;Times;Serif" w:hAnsi="Times New Roman;Times;Serif"/>
          <w:b w:val="false"/>
          <w:i w:val="false"/>
          <w:caps w:val="false"/>
          <w:smallCaps w:val="false"/>
          <w:sz w:val="20"/>
        </w:rPr>
        <w:t xml:space="preserve"> released across Steam, PlayStation, and Xbox platforms. The DLC bridges the gap between </w:t>
      </w:r>
      <w:r>
        <w:rPr>
          <w:rFonts w:ascii="Times New Roman;Times;Serif" w:hAnsi="Times New Roman;Times;Serif"/>
          <w:b w:val="false"/>
          <w:i/>
          <w:caps w:val="false"/>
          <w:smallCaps w:val="false"/>
          <w:sz w:val="20"/>
        </w:rPr>
        <w:t>ARK: Extinction</w:t>
      </w:r>
      <w:r>
        <w:rPr>
          <w:rFonts w:ascii="Times New Roman;Times;Serif" w:hAnsi="Times New Roman;Times;Serif"/>
          <w:b w:val="false"/>
          <w:i w:val="false"/>
          <w:caps w:val="false"/>
          <w:smallCaps w:val="false"/>
          <w:sz w:val="20"/>
        </w:rPr>
        <w:t xml:space="preserve"> expansion and </w:t>
      </w:r>
      <w:r>
        <w:rPr>
          <w:rFonts w:ascii="Times New Roman;Times;Serif" w:hAnsi="Times New Roman;Times;Serif"/>
          <w:b w:val="false"/>
          <w:i/>
          <w:caps w:val="false"/>
          <w:smallCaps w:val="false"/>
          <w:sz w:val="20"/>
        </w:rPr>
        <w:t>ARK 2</w:t>
      </w:r>
      <w:r>
        <w:rPr>
          <w:rFonts w:ascii="Times New Roman;Times;Serif" w:hAnsi="Times New Roman;Times;Serif"/>
          <w:b w:val="false"/>
          <w:i w:val="false"/>
          <w:caps w:val="false"/>
          <w:smallCaps w:val="false"/>
          <w:sz w:val="20"/>
        </w:rPr>
        <w:t xml:space="preserve">, delivering what management believes is one of the most ambitious narrative experience in the franchise’s history to date. In December, unit sales of the DLC were approximately 2.0x the average monthly volume in the preceding six months. On the mobile platform,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which launched in December of the prior year, surpassed 10 million downloads during 2025. The continued success of the DLC release and mobile content supports our broader objective of extending the lifecycle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ecosystem on multi-platforms while continuing to provide players with the immersive engagement experience associated with the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Film and TV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short film mobile application,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continues to bring exclusive original content spanning genres from high-intensity thrillers to romance-driven dramas. As of December 31, 2025, we released 140 short film dramas on the platform, reflecting our ongoing investment in premium vertical storytelling. We expect to maintain a consistent cadence of new releases throughout 2026 and beyond while further advancing the Memorandum of Understanding entered into by our subsidiary, Interactive Films, with Mega Matrix Inc., which focuses on the joint development, production, and global distribution of short film dramas. In addition, we expanded the platform’s content ecosystem through the release of a full-motion video (FMV) title, </w:t>
      </w:r>
      <w:r>
        <w:rPr>
          <w:rFonts w:ascii="Times New Roman;Times;Serif" w:hAnsi="Times New Roman;Times;Serif"/>
          <w:b w:val="false"/>
          <w:i/>
          <w:caps w:val="false"/>
          <w:smallCaps w:val="false"/>
          <w:sz w:val="20"/>
        </w:rPr>
        <w:t>The Fame Game: Welcome to Hollywood</w:t>
      </w:r>
      <w:r>
        <w:rPr>
          <w:rFonts w:ascii="Times New Roman;Times;Serif" w:hAnsi="Times New Roman;Times;Serif"/>
          <w:b w:val="false"/>
          <w:i w:val="false"/>
          <w:caps w:val="false"/>
          <w:smallCaps w:val="false"/>
          <w:sz w:val="20"/>
        </w:rPr>
        <w:t>, an interactive narrative experience following an emerging actor navigating romance, ambition, and the complexities behind the spotlight.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Company announced its intention to explore a strategic digital asset initiative, including evaluating the feasibility of introducing a proprietary stablecoin. This initiative remains subject to various considerations, including regulatory approvals, market conditions, technical feasibility, cybersecurity safeguards, financial controls, and internal governance. Management believes that building a stablecoin infrastructure may position the Company as an early innovator within the digital entertainment industry. At the Company’s 2025 Investor Day held on December 16, 2025, management revealed the official branding of the stablecoin and symbolically minted the first official coin live on stage, representing a significant milestone in advancing its strategy to integrate secure, utility focused digital payments across its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and My Nintendo Store, and certain retail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when payments are due or received in advance of the fulfillment of our associated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b w:val="false"/>
          <w:i/>
          <w:caps w:val="false"/>
          <w:smallCaps w:val="false"/>
          <w:sz w:val="20"/>
        </w:rPr>
        <w:t>Summary of Significant Accounting Policies </w:t>
      </w:r>
      <w:r>
        <w:rPr>
          <w:rFonts w:ascii="Times New Roman;Times;Serif" w:hAnsi="Times New Roman;Times;Serif"/>
          <w:b w:val="false"/>
          <w:i w:val="false"/>
          <w:caps w:val="false"/>
          <w:smallCaps w:val="false"/>
          <w:sz w:val="20"/>
        </w:rPr>
        <w:t>to our consolidated financial statements included in this Annual Report. We generally expect cost of revenues to fluctuate proportionately with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when expanding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inflationary pressures of recent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consists primarily of consulting expenses and salaries and wages devoted towards the development of new games and related technologies and development costs outsourced through Suzhou Snail. We expect our research and development to increase as we develop new content, games or 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expenses consists of costs related to short films and game titles produced or licensed by Snail. When projected future cash flows were no longer expected to recover from the carrying value of film projects and game licenses, we recognize an impairment charge to write down the assets in full, or in part, to their estimated fair value. Impairments during the period primarily resulted from changes in marketing strategies, underperformance of certain titles, or shifts in market demand. These charges negatively impact operating income and reflect our continuous assessment of content performance in a rapidly evolving landscape.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(64.6)% differed from the federal statutory tax rate of 21% primarily due to state income taxes and a change in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December 31, 2025 versus the year ended December 31, 2024</w:t>
      </w:r>
    </w:p>
    <w:p>
      <w:pPr>
        <w:pStyle w:val="TextBody"/>
        <w:bidi w:val="0"/>
        <w:spacing w:before="0" w:after="0"/>
        <w:ind w:left="0" w:right="0" w:hanging="0"/>
        <w:jc w:val="center"/>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3035"/>
        <w:gridCol w:w="60"/>
        <w:gridCol w:w="140"/>
        <w:gridCol w:w="515"/>
        <w:gridCol w:w="95"/>
        <w:gridCol w:w="60"/>
        <w:gridCol w:w="140"/>
        <w:gridCol w:w="440"/>
        <w:gridCol w:w="60"/>
        <w:gridCol w:w="60"/>
        <w:gridCol w:w="212"/>
        <w:gridCol w:w="783"/>
        <w:gridCol w:w="95"/>
        <w:gridCol w:w="60"/>
        <w:gridCol w:w="96"/>
        <w:gridCol w:w="1019"/>
        <w:gridCol w:w="35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5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5" w:type="dxa"/>
            <w:gridSpan w:val="14"/>
            <w:tcBorders/>
            <w:vAlign w:val="center"/>
          </w:tcPr>
          <w:p>
            <w:pPr>
              <w:pStyle w:val="TableContents"/>
              <w:bidi w:val="0"/>
              <w:spacing w:before="0" w:after="283"/>
              <w:jc w:val="center"/>
              <w:rPr>
                <w:b/>
              </w:rPr>
            </w:pPr>
            <w:r>
              <w:rPr>
                <w:b/>
              </w:rPr>
              <w:t>(in millions)</w:t>
            </w:r>
          </w:p>
        </w:tc>
        <w:tc>
          <w:tcPr>
            <w:tcW w:w="35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(25.8</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40.6</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25.2</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243.8</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(18.4</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Impairment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50.7</w:t>
            </w:r>
          </w:p>
        </w:tc>
        <w:tc>
          <w:tcPr>
            <w:tcW w:w="35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(543.9</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for the year ended December 31, 2025 decreased by $3.2 million, or 3.8%, compared to the year ended December 31, 2024. The decrease in net revenues was due to a decrease in recognition of deferred revenues of $15.5 million related to the Ark franchise, and, to a lesser extent, a decrease in sales </w:t>
      </w:r>
      <w:r>
        <w:rPr>
          <w:rFonts w:ascii="Times New Roman;Times;Serif" w:hAnsi="Times New Roman;Times;Serif"/>
          <w:b w:val="false"/>
          <w:i/>
          <w:caps w:val="false"/>
          <w:smallCaps w:val="false"/>
          <w:sz w:val="20"/>
        </w:rPr>
        <w:t>Bellwright</w:t>
      </w:r>
      <w:r>
        <w:rPr>
          <w:rFonts w:ascii="Times New Roman;Times;Serif" w:hAnsi="Times New Roman;Times;Serif"/>
          <w:b w:val="false"/>
          <w:i w:val="false"/>
          <w:caps w:val="false"/>
          <w:smallCaps w:val="false"/>
          <w:sz w:val="20"/>
        </w:rPr>
        <w:t xml:space="preserve"> of $1.5 million, a decrease in revenues related to </w:t>
      </w:r>
      <w:r>
        <w:rPr>
          <w:rFonts w:ascii="Times New Roman;Times;Serif" w:hAnsi="Times New Roman;Times;Serif"/>
          <w:b w:val="false"/>
          <w:i/>
          <w:caps w:val="false"/>
          <w:smallCaps w:val="false"/>
          <w:sz w:val="20"/>
        </w:rPr>
        <w:t xml:space="preserve">Myth of Empires </w:t>
      </w:r>
      <w:r>
        <w:rPr>
          <w:rFonts w:ascii="Times New Roman;Times;Serif" w:hAnsi="Times New Roman;Times;Serif"/>
          <w:b w:val="false"/>
          <w:i w:val="false"/>
          <w:caps w:val="false"/>
          <w:smallCaps w:val="false"/>
          <w:sz w:val="20"/>
        </w:rPr>
        <w:t xml:space="preserve">of $1.3 million, partially offset by an increase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sales of $11.3 million, an increase in </w:t>
      </w:r>
      <w:r>
        <w:rPr>
          <w:rFonts w:ascii="Times New Roman;Times;Serif" w:hAnsi="Times New Roman;Times;Serif"/>
          <w:b w:val="false"/>
          <w:i/>
          <w:caps w:val="false"/>
          <w:smallCaps w:val="false"/>
          <w:sz w:val="20"/>
        </w:rPr>
        <w:t>Ark Mobile</w:t>
      </w:r>
      <w:r>
        <w:rPr>
          <w:rFonts w:ascii="Times New Roman;Times;Serif" w:hAnsi="Times New Roman;Times;Serif"/>
          <w:b w:val="false"/>
          <w:i w:val="false"/>
          <w:caps w:val="false"/>
          <w:smallCaps w:val="false"/>
          <w:sz w:val="20"/>
        </w:rPr>
        <w:t xml:space="preserve"> sales of $2.4 million and an increase in revenues generated from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application of $0.8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year ended December 31, 2025 increased by $4.6 million, or 8.4%, compared to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years ended December 31, 2025 and 2024 comprised the following:</w:t>
      </w:r>
    </w:p>
    <w:p>
      <w:pPr>
        <w:pStyle w:val="TextBody"/>
        <w:bidi w:val="0"/>
        <w:spacing w:before="0" w:after="0"/>
        <w:ind w:left="0" w:right="0" w:firstLine="360"/>
        <w:jc w:val="both"/>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3995"/>
        <w:gridCol w:w="60"/>
        <w:gridCol w:w="140"/>
        <w:gridCol w:w="440"/>
        <w:gridCol w:w="60"/>
        <w:gridCol w:w="60"/>
        <w:gridCol w:w="140"/>
        <w:gridCol w:w="440"/>
        <w:gridCol w:w="60"/>
        <w:gridCol w:w="60"/>
        <w:gridCol w:w="260"/>
        <w:gridCol w:w="735"/>
        <w:gridCol w:w="95"/>
        <w:gridCol w:w="60"/>
        <w:gridCol w:w="72"/>
        <w:gridCol w:w="1043"/>
        <w:gridCol w:w="30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(70.6</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License fees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22,251.3</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109.2</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22.3</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19.2</w:t>
            </w:r>
          </w:p>
        </w:tc>
        <w:tc>
          <w:tcPr>
            <w:tcW w:w="305"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Costs related to 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82.1</w:t>
            </w:r>
          </w:p>
        </w:tc>
        <w:tc>
          <w:tcPr>
            <w:tcW w:w="305"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pPr>
            <w:r>
              <w:rPr/>
              <w:t>8.4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cost of revenues for the year ended December 31, 2025 was due to an increase of $1.7 million in license and amortization primarily due to a larger depreciable base attributable to film assets, an increase in engine fees of $0.9 million due to a one-time engine expense fee, an increase in internet, server and data center fees of $1.0 million, and an increase in merchant fees of $1.0 million related to increase </w:t>
      </w:r>
      <w:r>
        <w:rPr>
          <w:rFonts w:ascii="Times New Roman;Times;Serif" w:hAnsi="Times New Roman;Times;Serif"/>
          <w:b w:val="false"/>
          <w:i/>
          <w:caps w:val="false"/>
          <w:smallCaps w:val="false"/>
          <w:sz w:val="20"/>
        </w:rPr>
        <w:t xml:space="preserve">ARK: Ultimate Mobile Edition </w:t>
      </w:r>
      <w:r>
        <w:rPr>
          <w:rFonts w:ascii="Times New Roman;Times;Serif" w:hAnsi="Times New Roman;Times;Serif"/>
          <w:b w:val="false"/>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 ended December 31, 2025 increased by $5.2 million, or 40.6%, compared to the year ended December 31, 2024. The increase in general and administrative expenses was due to an increase in salaries and wages of $3.0 million due to an increase in an employee headcount and recording $0.4 million in stock compensation expense in 2025 versus an income related stock based income of ($0.9) million in 2024, an increase in contractors expenses of $1.0 million, an increase in general office expenses of $0.5 million, an increase in legal and professional costs of $0.3 million, an increase in rent, insurance and travel expenses of $0.5 million and an increase in public company expenses of $0.2 million related to SEC filing fees, investor relations, NASDAQ listing fees and compliance expenses; partially offset by an decrease in non-income related taxes of $0.2 million and fines and penalties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for the year ended December 31, 2025 increased by $2.9 million, or 25.2%, compared to the year ended December 31, 2024. The increase in research and development expenses was due to the outsourced development of </w:t>
      </w:r>
      <w:r>
        <w:rPr>
          <w:rFonts w:ascii="Times New Roman;Times;Serif" w:hAnsi="Times New Roman;Times;Serif"/>
          <w:b w:val="false"/>
          <w:i/>
          <w:caps w:val="false"/>
          <w:smallCaps w:val="false"/>
          <w:sz w:val="20"/>
        </w:rPr>
        <w:t xml:space="preserve">For the Stars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Nine Yin Sutra: Immortal </w:t>
      </w:r>
      <w:r>
        <w:rPr>
          <w:rFonts w:ascii="Times New Roman;Times;Serif" w:hAnsi="Times New Roman;Times;Serif"/>
          <w:b w:val="false"/>
          <w:i w:val="false"/>
          <w:caps w:val="false"/>
          <w:smallCaps w:val="false"/>
          <w:sz w:val="20"/>
        </w:rPr>
        <w:t>paid through Suzhou Snail and increased internal research and development salaries as we continue to build our internal development team</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marketing expenses for the year ended December 31, 2025 increased by $3.7 million, or 243.8%, compared to the year ended December 31, 2024. The increase is due to our presence at GDC in March 2025, and increased advertising campaigns for </w:t>
      </w:r>
      <w:r>
        <w:rPr>
          <w:rFonts w:ascii="Times New Roman;Times;Serif" w:hAnsi="Times New Roman;Times;Serif"/>
          <w:b w:val="false"/>
          <w:i/>
          <w:caps w:val="false"/>
          <w:smallCaps w:val="false"/>
          <w:sz w:val="20"/>
        </w:rPr>
        <w:t xml:space="preserve">ARK: Aquatica, ARK: Lost Colony, </w:t>
      </w:r>
      <w:r>
        <w:rPr>
          <w:rFonts w:ascii="Times New Roman;Times;Serif" w:hAnsi="Times New Roman;Times;Serif"/>
          <w:b w:val="false"/>
          <w:i w:val="false"/>
          <w:caps w:val="false"/>
          <w:smallCaps w:val="false"/>
          <w:sz w:val="20"/>
        </w:rPr>
        <w:t xml:space="preserve">Wandering Wizard titles, and </w:t>
      </w:r>
      <w:r>
        <w:rPr>
          <w:rFonts w:ascii="Times New Roman;Times;Serif" w:hAnsi="Times New Roman;Times;Serif"/>
          <w:b w:val="false"/>
          <w:i/>
          <w:caps w:val="false"/>
          <w:smallCaps w:val="false"/>
          <w:sz w:val="20"/>
        </w:rPr>
        <w:t xml:space="preserve">SaltyTV </w:t>
      </w:r>
      <w:r>
        <w:rPr>
          <w:rFonts w:ascii="Times New Roman;Times;Serif" w:hAnsi="Times New Roman;Times;Serif"/>
          <w:b w:val="false"/>
          <w:i w:val="false"/>
          <w:caps w:val="false"/>
          <w:smallCaps w:val="false"/>
          <w:sz w:val="20"/>
        </w:rPr>
        <w:t>content releases.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expenses for the year ended December 31, 2025 increased by $1.5 million, or 100.0%, compared to the year ended December 31, 2024. The increase in impairment expense was due to the underperformance of certain short films and game titles and changes in the market conditions affecting expected future cash flow during the year ended December 31, 2025. There were no such impairments during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Factors Affecting Net Income (Loss)</w:t>
      </w:r>
    </w:p>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300"/>
        <w:gridCol w:w="60"/>
        <w:gridCol w:w="140"/>
        <w:gridCol w:w="515"/>
        <w:gridCol w:w="95"/>
        <w:gridCol w:w="60"/>
        <w:gridCol w:w="140"/>
        <w:gridCol w:w="395"/>
        <w:gridCol w:w="95"/>
        <w:gridCol w:w="60"/>
        <w:gridCol w:w="212"/>
        <w:gridCol w:w="783"/>
        <w:gridCol w:w="95"/>
        <w:gridCol w:w="60"/>
        <w:gridCol w:w="76"/>
        <w:gridCol w:w="1039"/>
        <w:gridCol w:w="30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5" w:type="dxa"/>
            <w:gridSpan w:val="14"/>
            <w:tcBorders/>
            <w:vAlign w:val="center"/>
          </w:tcPr>
          <w:p>
            <w:pPr>
              <w:pStyle w:val="TableContents"/>
              <w:bidi w:val="0"/>
              <w:spacing w:before="0" w:after="283"/>
              <w:jc w:val="center"/>
              <w:rPr>
                <w:b/>
              </w:rPr>
            </w:pPr>
            <w:r>
              <w:rPr>
                <w:b/>
              </w:rPr>
              <w:t>(in millions)</w:t>
            </w:r>
          </w:p>
        </w:tc>
        <w:tc>
          <w:tcPr>
            <w:tcW w:w="30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417.1</w:t>
            </w:r>
          </w:p>
        </w:tc>
        <w:tc>
          <w:tcPr>
            <w:tcW w:w="305" w:type="dxa"/>
            <w:tcBorders/>
            <w:shd w:fill="CCEEFF" w:val="clear"/>
            <w:vAlign w:val="center"/>
          </w:tcPr>
          <w:p>
            <w:pPr>
              <w:pStyle w:val="TableContents"/>
              <w:bidi w:val="0"/>
              <w:spacing w:before="0" w:after="283"/>
              <w:jc w:val="left"/>
              <w:rPr/>
            </w:pPr>
            <w:r>
              <w:rPr/>
              <w:t>%</w:t>
            </w:r>
          </w:p>
        </w:tc>
      </w:tr>
      <w:tr>
        <w:trPr/>
        <w:tc>
          <w:tcPr>
            <w:tcW w:w="23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(8.7</w:t>
            </w:r>
          </w:p>
        </w:tc>
        <w:tc>
          <w:tcPr>
            <w:tcW w:w="305" w:type="dxa"/>
            <w:tcBorders/>
            <w:shd w:fill="FFFFFF" w:val="clear"/>
            <w:vAlign w:val="center"/>
          </w:tcPr>
          <w:p>
            <w:pPr>
              <w:pStyle w:val="TableContents"/>
              <w:bidi w:val="0"/>
              <w:spacing w:before="0" w:after="283"/>
              <w:jc w:val="left"/>
              <w:rPr/>
            </w:pPr>
            <w:r>
              <w:rPr/>
              <w:t>)%</w:t>
            </w:r>
          </w:p>
        </w:tc>
      </w:tr>
      <w:tr>
        <w:trPr/>
        <w:tc>
          <w:tcPr>
            <w:tcW w:w="230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111.7</w:t>
            </w:r>
          </w:p>
        </w:tc>
        <w:tc>
          <w:tcPr>
            <w:tcW w:w="305" w:type="dxa"/>
            <w:tcBorders/>
            <w:shd w:fill="CCEEFF" w:val="clear"/>
            <w:vAlign w:val="center"/>
          </w:tcPr>
          <w:p>
            <w:pPr>
              <w:pStyle w:val="TableContents"/>
              <w:bidi w:val="0"/>
              <w:spacing w:before="0" w:after="283"/>
              <w:jc w:val="left"/>
              <w:rPr/>
            </w:pPr>
            <w:r>
              <w:rPr/>
              <w:t>%</w:t>
            </w:r>
          </w:p>
        </w:tc>
      </w:tr>
      <w:tr>
        <w:trPr/>
        <w:tc>
          <w:tcPr>
            <w:tcW w:w="230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(1,590.9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$1.3 million and $0.3 million for the year ended December 31, 2025 and 2024, respectively. The increase was due to $1.1 million of interest income related to the interest portion of IRS refunds received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related to our outstanding indebtedness with third-party lenders. Interest expense remained relatively consistent for the year ended December 31, 2025 compared to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increased by $1.1 million for the year ended December 31, 2025, in comparison to the year ended December 31, 2024. The increase is primarily due to the $2.0 million fair market value increase of our outstanding and exercised warrant liabilities, partially offset by a $0.5 million fair market value decrease of our convertible notes, a $0.3 million decrease in Angela Games settlement income and $0.1 million write off of deferred offering costs related to our equity line of credit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an income tax provision of $10.7 million for the year ended December 31, 2025 and a provision of $0.6 million for the year ended December 31, 2024. Our effective income tax rate was (64.6)% and 25.7% during the years ended December 31, 2025 and 2024, respectively. The increase was due to a valuation allowance of $10.8 million for which we determined it is more-likely-than-not that such deferred tax assets will not be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bidi w:val="0"/>
        <w:spacing w:before="0" w:after="0"/>
        <w:ind w:left="0" w:right="0" w:hanging="0"/>
        <w:jc w:val="both"/>
        <w:rPr>
          <w:caps w:val="false"/>
          <w:smallCaps w:val="false"/>
        </w:rPr>
      </w:pPr>
      <w:r>
        <w:rPr>
          <w:caps w:val="false"/>
          <w:smallCaps w:val="false"/>
        </w:rPr>
        <w:t> </w:t>
      </w:r>
    </w:p>
    <w:tbl>
      <w:tblPr>
        <w:tblW w:w="5036" w:type="dxa"/>
        <w:jc w:val="left"/>
        <w:tblInd w:w="0" w:type="dxa"/>
        <w:tblLayout w:type="fixed"/>
        <w:tblCellMar>
          <w:top w:w="0" w:type="dxa"/>
          <w:left w:w="0" w:type="dxa"/>
          <w:bottom w:w="0" w:type="dxa"/>
          <w:right w:w="0" w:type="dxa"/>
        </w:tblCellMar>
      </w:tblPr>
      <w:tblGrid>
        <w:gridCol w:w="1100"/>
        <w:gridCol w:w="60"/>
        <w:gridCol w:w="82"/>
        <w:gridCol w:w="440"/>
        <w:gridCol w:w="82"/>
        <w:gridCol w:w="82"/>
        <w:gridCol w:w="82"/>
        <w:gridCol w:w="440"/>
        <w:gridCol w:w="82"/>
        <w:gridCol w:w="82"/>
        <w:gridCol w:w="157"/>
        <w:gridCol w:w="838"/>
        <w:gridCol w:w="82"/>
        <w:gridCol w:w="82"/>
        <w:gridCol w:w="133"/>
        <w:gridCol w:w="982"/>
        <w:gridCol w:w="230"/>
      </w:tblGrid>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6" w:type="dxa"/>
            <w:gridSpan w:val="14"/>
            <w:tcBorders/>
            <w:vAlign w:val="center"/>
          </w:tcPr>
          <w:p>
            <w:pPr>
              <w:pStyle w:val="TableContents"/>
              <w:bidi w:val="0"/>
              <w:spacing w:before="0" w:after="283"/>
              <w:jc w:val="center"/>
              <w:rPr>
                <w:b/>
              </w:rPr>
            </w:pPr>
            <w:r>
              <w:rPr>
                <w:b/>
              </w:rPr>
              <w:t>(in millions)</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Sold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include master games, DLCs, season pass and bundles and excludes skins, soundtracks and other items.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Units sold increased during the year ended December 31, 2025, as compared to the year ended December 31, 2024, by 1.6 million units, or 32.7%. Units sold of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 xml:space="preserve">franchise increased by 1.7 million units, partially offset by a decrease in </w:t>
      </w:r>
      <w:r>
        <w:rPr>
          <w:rFonts w:ascii="Times New Roman;Times;Serif" w:hAnsi="Times New Roman;Times;Serif"/>
          <w:b w:val="false"/>
          <w:i/>
          <w:caps w:val="false"/>
          <w:smallCaps w:val="false"/>
          <w:sz w:val="20"/>
        </w:rPr>
        <w:t xml:space="preserve">Bellwright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West Hunt </w:t>
      </w:r>
      <w:r>
        <w:rPr>
          <w:rFonts w:ascii="Times New Roman;Times;Serif" w:hAnsi="Times New Roman;Times;Serif"/>
          <w:b w:val="false"/>
          <w:i w:val="false"/>
          <w:caps w:val="false"/>
          <w:smallCaps w:val="false"/>
          <w:sz w:val="20"/>
        </w:rPr>
        <w:t>sales of 0.1 million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income (loss), as measures of financial performance or any other performance measure derived in accordance with GAAP. Below is a reconciliation of total net revenue to Bookings, the closest GAAP financial measure.</w:t>
      </w:r>
    </w:p>
    <w:p>
      <w:pPr>
        <w:pStyle w:val="TextBody"/>
        <w:bidi w:val="0"/>
        <w:spacing w:before="0" w:after="0"/>
        <w:ind w:left="0" w:right="0" w:hanging="0"/>
        <w:jc w:val="both"/>
        <w:rPr>
          <w:caps w:val="false"/>
          <w:smallCaps w:val="false"/>
        </w:rPr>
      </w:pPr>
      <w:r>
        <w:rPr>
          <w:caps w:val="false"/>
          <w:smallCaps w:val="false"/>
        </w:rPr>
        <w:t> </w:t>
      </w:r>
    </w:p>
    <w:tbl>
      <w:tblPr>
        <w:tblW w:w="7694" w:type="dxa"/>
        <w:jc w:val="left"/>
        <w:tblInd w:w="0" w:type="dxa"/>
        <w:tblLayout w:type="fixed"/>
        <w:tblCellMar>
          <w:top w:w="0" w:type="dxa"/>
          <w:left w:w="0" w:type="dxa"/>
          <w:bottom w:w="0" w:type="dxa"/>
          <w:right w:w="0" w:type="dxa"/>
        </w:tblCellMar>
      </w:tblPr>
      <w:tblGrid>
        <w:gridCol w:w="3005"/>
        <w:gridCol w:w="60"/>
        <w:gridCol w:w="290"/>
        <w:gridCol w:w="914"/>
        <w:gridCol w:w="60"/>
        <w:gridCol w:w="60"/>
        <w:gridCol w:w="140"/>
        <w:gridCol w:w="440"/>
        <w:gridCol w:w="95"/>
        <w:gridCol w:w="60"/>
        <w:gridCol w:w="240"/>
        <w:gridCol w:w="755"/>
        <w:gridCol w:w="95"/>
        <w:gridCol w:w="60"/>
        <w:gridCol w:w="96"/>
        <w:gridCol w:w="1019"/>
        <w:gridCol w:w="30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2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30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914" w:type="dxa"/>
            <w:tcBorders/>
            <w:shd w:fill="CCEEFF" w:val="clear"/>
            <w:vAlign w:val="center"/>
          </w:tcPr>
          <w:p>
            <w:pPr>
              <w:pStyle w:val="TableContents"/>
              <w:bidi w:val="0"/>
              <w:spacing w:before="0" w:after="283"/>
              <w:jc w:val="right"/>
              <w:rPr/>
            </w:pPr>
            <w:r>
              <w:rPr/>
              <w:t>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(3.8</w:t>
            </w:r>
          </w:p>
        </w:tc>
        <w:tc>
          <w:tcPr>
            <w:tcW w:w="305"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left"/>
              <w:rPr/>
            </w:pPr>
            <w:r>
              <w:rPr/>
              <w:t>Change in deferred net revenue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(174.8</w:t>
            </w:r>
          </w:p>
        </w:tc>
        <w:tc>
          <w:tcPr>
            <w:tcW w:w="305"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Bookings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pPr>
            <w:r>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pPr>
            <w:r>
              <w:rPr/>
              <w:t>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16.2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bookings increased by $12.2 million, or 16.2%, compared to the year ended December 31, 2024, because of increased sales of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driven by the launch of </w:t>
      </w:r>
      <w:r>
        <w:rPr>
          <w:rFonts w:ascii="Times New Roman;Times;Serif" w:hAnsi="Times New Roman;Times;Serif"/>
          <w:b w:val="false"/>
          <w:i/>
          <w:caps w:val="false"/>
          <w:smallCaps w:val="false"/>
          <w:sz w:val="20"/>
        </w:rPr>
        <w:t>ARK: Lost Colony</w:t>
      </w:r>
      <w:r>
        <w:rPr>
          <w:rFonts w:ascii="Times New Roman;Times;Serif" w:hAnsi="Times New Roman;Times;Serif"/>
          <w:b w:val="false"/>
          <w:i w:val="false"/>
          <w:caps w:val="false"/>
          <w:smallCaps w:val="false"/>
          <w:sz w:val="20"/>
        </w:rPr>
        <w:t xml:space="preserve"> in December 2025, the release of </w:t>
      </w:r>
      <w:r>
        <w:rPr>
          <w:rFonts w:ascii="Times New Roman;Times;Serif" w:hAnsi="Times New Roman;Times;Serif"/>
          <w:b w:val="false"/>
          <w:i/>
          <w:caps w:val="false"/>
          <w:smallCaps w:val="false"/>
          <w:sz w:val="20"/>
        </w:rPr>
        <w:t>ARK: Astraeos</w:t>
      </w:r>
      <w:r>
        <w:rPr>
          <w:rFonts w:ascii="Times New Roman;Times;Serif" w:hAnsi="Times New Roman;Times;Serif"/>
          <w:b w:val="false"/>
          <w:i w:val="false"/>
          <w:caps w:val="false"/>
          <w:smallCaps w:val="false"/>
          <w:sz w:val="20"/>
        </w:rPr>
        <w:t xml:space="preserve"> in February 2025 and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had its first sales event in June 2025 since the price drop in August 2023. Additionally, we deferred $6.6 million for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DLC’s which have not yet released in 2025 as compared to $13.2 million recognized from deferred revenue upon the release of </w:t>
      </w:r>
      <w:r>
        <w:rPr>
          <w:rFonts w:ascii="Times New Roman;Times;Serif" w:hAnsi="Times New Roman;Times;Serif"/>
          <w:b w:val="false"/>
          <w:i/>
          <w:caps w:val="false"/>
          <w:smallCaps w:val="false"/>
          <w:sz w:val="20"/>
        </w:rPr>
        <w:t>Scorched Earth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Aberration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Extinction</w:t>
      </w:r>
      <w:r>
        <w:rPr>
          <w:rFonts w:ascii="Times New Roman;Times;Serif" w:hAnsi="Times New Roman;Times;Serif"/>
          <w:b w:val="false"/>
          <w:i w:val="false"/>
          <w:caps w:val="false"/>
          <w:smallCaps w:val="false"/>
          <w:sz w:val="20"/>
        </w:rPr>
        <w:t xml:space="preserve"> in 2024 and deferred $6.7 million in revenues during the year ended December 31, 2024 for the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xml:space="preserve"> DLC’s that have not yet released.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financial results determined in accordance with U.S. generally accepted accounting principles (“U.S. GAAP” or “GAAP”), we believe EBITDA, as a non-GAAP measure, is useful in evaluating our operating performance. EBITDA, as used in this Annual Report on Form 10-K, is a non-GAAP financial measure that is presented as supplemental disclosures and should not be construed as an alternative to net income (loss) or any other GAAP measure as an indicator of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 Management believes EBITDA is useful to investors and analysts in highlighting trends in our operating performance, while other measures can differ significantly depending on long-germ strategic decisions regarding capital structure, the tax jurisdictions in which we operate and capital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net income (loss) before (i) interest income, (ii) interest expense, (iii) (benefit from) provision for income taxes, and (iv) depreciation expense,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income (loss) to EBITDA, the closest GAAP financial measure.</w:t>
      </w:r>
    </w:p>
    <w:p>
      <w:pPr>
        <w:pStyle w:val="TextBody"/>
        <w:bidi w:val="0"/>
        <w:spacing w:before="0" w:after="0"/>
        <w:ind w:left="0" w:right="0" w:firstLine="360"/>
        <w:jc w:val="both"/>
        <w:rPr>
          <w:caps w:val="false"/>
          <w:smallCaps w:val="false"/>
        </w:rPr>
      </w:pPr>
      <w:r>
        <w:rPr>
          <w:caps w:val="false"/>
          <w:smallCaps w:val="false"/>
        </w:rPr>
        <w:t> </w:t>
      </w:r>
    </w:p>
    <w:tbl>
      <w:tblPr>
        <w:tblW w:w="9709" w:type="dxa"/>
        <w:jc w:val="left"/>
        <w:tblInd w:w="0" w:type="dxa"/>
        <w:tblLayout w:type="fixed"/>
        <w:tblCellMar>
          <w:top w:w="0" w:type="dxa"/>
          <w:left w:w="0" w:type="dxa"/>
          <w:bottom w:w="0" w:type="dxa"/>
          <w:right w:w="0" w:type="dxa"/>
        </w:tblCellMar>
      </w:tblPr>
      <w:tblGrid>
        <w:gridCol w:w="5030"/>
        <w:gridCol w:w="60"/>
        <w:gridCol w:w="256"/>
        <w:gridCol w:w="948"/>
        <w:gridCol w:w="95"/>
        <w:gridCol w:w="60"/>
        <w:gridCol w:w="140"/>
        <w:gridCol w:w="395"/>
        <w:gridCol w:w="95"/>
        <w:gridCol w:w="60"/>
        <w:gridCol w:w="212"/>
        <w:gridCol w:w="783"/>
        <w:gridCol w:w="95"/>
        <w:gridCol w:w="60"/>
        <w:gridCol w:w="76"/>
        <w:gridCol w:w="1039"/>
        <w:gridCol w:w="305"/>
      </w:tblGrid>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30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(in millions)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(1,590.8</w:t>
            </w:r>
          </w:p>
        </w:tc>
        <w:tc>
          <w:tcPr>
            <w:tcW w:w="305"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Interest income and interest income – related parties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413.9</w:t>
            </w:r>
          </w:p>
        </w:tc>
        <w:tc>
          <w:tcPr>
            <w:tcW w:w="305"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Interest expense and interest expense – related parties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(8.7</w:t>
            </w:r>
          </w:p>
        </w:tc>
        <w:tc>
          <w:tcPr>
            <w:tcW w:w="305"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1,590.9</w:t>
            </w:r>
          </w:p>
        </w:tc>
        <w:tc>
          <w:tcPr>
            <w:tcW w:w="305" w:type="dxa"/>
            <w:tcBorders/>
            <w:shd w:fill="FFFFFF" w:val="clear"/>
            <w:vAlign w:val="center"/>
          </w:tcPr>
          <w:p>
            <w:pPr>
              <w:pStyle w:val="TableContents"/>
              <w:bidi w:val="0"/>
              <w:spacing w:before="0" w:after="283"/>
              <w:jc w:val="left"/>
              <w:rPr/>
            </w:pPr>
            <w:r>
              <w:rPr/>
              <w:t>%</w:t>
            </w:r>
          </w:p>
        </w:tc>
      </w:tr>
      <w:tr>
        <w:trPr/>
        <w:tc>
          <w:tcPr>
            <w:tcW w:w="503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(18.4</w:t>
            </w:r>
          </w:p>
        </w:tc>
        <w:tc>
          <w:tcPr>
            <w:tcW w:w="305"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(627.1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EBITDA decreased by $20.2 million, or 627.1%, compared to the year ended December 31, 2024, primarily due to the decrease in gross profit of $7.8 million, an increase in general and administrative expenses of $5.2 million, an increase in research and development of $2.9 million, an increase in advertising and marketing of $3.7 million and an additional $1.5 million in impairment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the cash flows generated from our operations, that are currently available as unrestricted cash. Our unrestricted cash was $8.6 million and $7.3 million as of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restricted cash and cash equivalents were $1.9 million and $0.9 million as of December 31, 2025 and 2024, respectively. Our restricted cash primarily consists of time deposits and to secure standby letters of credit with certain of our landlords and hold collateral in reserve related to our revolving line of credit.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2021 Revolving Loan has a balance of $5.0 million and is due and payable in June 2027. Additionally, in February 2025 we issued convertible notes with a stated value of $3.3 million which matured in February 2026 and have been fully repaid. We obtained a term loan note of $3.5 million in June 2025 with a maturity date of June 2028. In October 2025, we issued convertible notes with a stated value of $2.2 million, which mature in October 2026; and in November 2025, we also issued convertible notes with a par value of $1.1 million, which mature in November 2026. Additionally, we have available to issue up to $4.4 million of convertible notes to our existing noteholders. We were in compliance with our debt covenants related to the 2021 Revolving Loan, 2021 Promissory note and 2025 Term Loan for the trailing twelve months ended December 31, 2025. We received a waiver for the covenant breach during the trailing twelve months ended December 31, 2024. We have received an extension on our 2021 Revolving Loan from the lender. There is no guarantee we will receive a waiver from the applicable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raised capital through the issuance of the convertible notes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unrestricted cash position of approximately $8.6 million, and our expected revenue receipts will allow us to continue operations beyond the next 12 months and service our current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summary of our cash flows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19"/>
        <w:gridCol w:w="60"/>
        <w:gridCol w:w="140"/>
        <w:gridCol w:w="395"/>
        <w:gridCol w:w="95"/>
        <w:gridCol w:w="60"/>
        <w:gridCol w:w="140"/>
        <w:gridCol w:w="395"/>
        <w:gridCol w:w="95"/>
        <w:gridCol w:w="60"/>
        <w:gridCol w:w="240"/>
        <w:gridCol w:w="755"/>
        <w:gridCol w:w="95"/>
        <w:gridCol w:w="60"/>
        <w:gridCol w:w="96"/>
        <w:gridCol w:w="1019"/>
        <w:gridCol w:w="281"/>
      </w:tblGrid>
      <w:tr>
        <w:trPr/>
        <w:tc>
          <w:tcPr>
            <w:tcW w:w="6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81" w:type="dxa"/>
            <w:tcBorders/>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81" w:type="dxa"/>
            <w:tcBorders/>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45" w:type="dxa"/>
            <w:gridSpan w:val="14"/>
            <w:tcBorders/>
            <w:vAlign w:val="center"/>
          </w:tcPr>
          <w:p>
            <w:pPr>
              <w:pStyle w:val="TableContents"/>
              <w:bidi w:val="0"/>
              <w:spacing w:before="0" w:after="283"/>
              <w:jc w:val="center"/>
              <w:rPr>
                <w:b/>
              </w:rPr>
            </w:pPr>
            <w:r>
              <w:rPr>
                <w:b/>
              </w:rPr>
              <w:t>(in millions)</w:t>
            </w:r>
          </w:p>
        </w:tc>
        <w:tc>
          <w:tcPr>
            <w:tcW w:w="281"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9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(26.3</w:t>
            </w:r>
          </w:p>
        </w:tc>
        <w:tc>
          <w:tcPr>
            <w:tcW w:w="281" w:type="dxa"/>
            <w:tcBorders/>
            <w:shd w:fill="CCEEFF" w:val="clear"/>
            <w:vAlign w:val="center"/>
          </w:tcPr>
          <w:p>
            <w:pPr>
              <w:pStyle w:val="TableContents"/>
              <w:bidi w:val="0"/>
              <w:spacing w:before="0" w:after="283"/>
              <w:jc w:val="left"/>
              <w:rPr/>
            </w:pPr>
            <w:r>
              <w:rPr/>
              <w:t>)%</w:t>
            </w:r>
          </w:p>
        </w:tc>
      </w:tr>
      <w:tr>
        <w:trPr/>
        <w:tc>
          <w:tcPr>
            <w:tcW w:w="6219"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(100.0</w:t>
            </w:r>
          </w:p>
        </w:tc>
        <w:tc>
          <w:tcPr>
            <w:tcW w:w="281" w:type="dxa"/>
            <w:tcBorders/>
            <w:shd w:fill="FFFFFF" w:val="clear"/>
            <w:vAlign w:val="center"/>
          </w:tcPr>
          <w:p>
            <w:pPr>
              <w:pStyle w:val="TableContents"/>
              <w:bidi w:val="0"/>
              <w:spacing w:before="0" w:after="283"/>
              <w:jc w:val="left"/>
              <w:rPr/>
            </w:pPr>
            <w:r>
              <w:rPr/>
              <w:t>)%</w:t>
            </w:r>
          </w:p>
        </w:tc>
      </w:tr>
      <w:tr>
        <w:trPr/>
        <w:tc>
          <w:tcPr>
            <w:tcW w:w="6219" w:type="dxa"/>
            <w:tcBorders/>
            <w:shd w:fill="CCEEFF" w:val="clear"/>
            <w:vAlign w:val="center"/>
          </w:tcPr>
          <w:p>
            <w:pPr>
              <w:pStyle w:val="TableContents"/>
              <w:bidi w:val="0"/>
              <w:spacing w:before="0" w:after="283"/>
              <w:jc w:val="left"/>
              <w:rPr/>
            </w:pPr>
            <w:r>
              <w:rPr/>
              <w:t>Net cash flows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(234.2</w:t>
            </w:r>
          </w:p>
        </w:tc>
        <w:tc>
          <w:tcPr>
            <w:tcW w:w="281" w:type="dxa"/>
            <w:tcBorders/>
            <w:shd w:fill="CCEEFF" w:val="clear"/>
            <w:vAlign w:val="center"/>
          </w:tcPr>
          <w:p>
            <w:pPr>
              <w:pStyle w:val="TableContents"/>
              <w:bidi w:val="0"/>
              <w:spacing w:before="0" w:after="283"/>
              <w:jc w:val="left"/>
              <w:rPr/>
            </w:pPr>
            <w:r>
              <w:rPr/>
              <w:t>)%</w:t>
            </w:r>
          </w:p>
        </w:tc>
      </w:tr>
      <w:tr>
        <w:trPr/>
        <w:tc>
          <w:tcPr>
            <w:tcW w:w="6219" w:type="dxa"/>
            <w:tcBorders/>
            <w:shd w:fill="FFFF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pPr>
            <w:r>
              <w:rPr/>
              <w:t>(128.5</w:t>
            </w:r>
          </w:p>
        </w:tc>
        <w:tc>
          <w:tcPr>
            <w:tcW w:w="28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 for the year ended December 31, 2025 increased $0.4 million as compared to the year ended December 31, 2024, primarily due to fluctuations in working capital. Accounts payable – related parties increased by $11.5 million as of December 31, 2025 compared to December 31, 2024, primarily due to $3.2 million of net licensing costs incurred and $0.3 million related to development costs for the SaltyTV app, compared to a decrease of $8.0 million in the prior year driven by timing of payments made to Suzhou Snail and SDE. Accounts payable also increased by $8.3 million, primarily due to the timing of payments related to $7.1 million of vendor obligations and $0.4 million of EPIC license fees. These increases were partially offset by an $18.0 million increase in accounts receivable, primarily driven by higher net billing activity of $14.6 million in 2025 compared to 2024 and $3.5 million of lower cash collections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net loss of $27.2 million and a net income of $1.8 million, for the years ended December 31, 2025 and 2024, respectively, representing a decrease of $29.0 million. The decrease was primarily due to an decrease in net revenue of $3.3 million, an increase in cost of revenues of $4.6 million, an increase of general and administrative expenses of $5.2 million, an increase of research and development costs of $3.0 million, an increase in advertising and marketing of $3.7 million, an increase in impairment expenses of $1.5 million, an increase in income tax provision of $10.1 million, partially offset by an increase in other income (expense) of $2.1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reconciling items were $14.0 million and $0.5 million for the years ended December 31, 2025 and 2024, respectively, representing an increase of $13.5 million. The increase in the non-cash reconciling items was due to an increase in deferred taxes of $11.4 million, an increase in amortization of intangible assets and film assets of $1.7 million, an increase in impairment of film and intangible assets of $1.5 million, an increase in stock based compensation expense of $1.3 million; partially offset by an increase on the gain in fair value of warrant liabilities of $2.1 million, a decrease in accretion of a convertible notes of $0.2 million and a decrease in depreciation and amortization of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December 31, 2025 and 2024, the net outstanding balances of receivables due from SDE were $1.5 million and $7.5 million, respectively. We expect accounts receivables owed to us by SDE will be repaid within the next fiscal year and intend to exercise all legally available means of collection. We have entered into an agreement with SDE to offset uncollected amounts against monthly payments due to SDE for operating expenses and costs of revenue. See Note 5 – </w:t>
      </w:r>
      <w:r>
        <w:rPr>
          <w:rFonts w:ascii="Times New Roman;Times;Serif" w:hAnsi="Times New Roman;Times;Serif"/>
          <w:b w:val="false"/>
          <w:i/>
          <w:caps w:val="false"/>
          <w:smallCaps w:val="false"/>
          <w:sz w:val="20"/>
        </w:rPr>
        <w:t>Accounts Receivable  (Payable) – Related Party</w:t>
      </w:r>
      <w:r>
        <w:rPr>
          <w:rFonts w:ascii="Times New Roman;Times;Serif" w:hAnsi="Times New Roman;Times;Serif"/>
          <w:b w:val="false"/>
          <w:i w:val="false"/>
          <w:caps w:val="false"/>
          <w:smallCaps w:val="false"/>
          <w:sz w:val="20"/>
        </w:rPr>
        <w:t xml:space="preserve"> to our consolidated financial statements included in this Annual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 for the year ended December 31, 2025 were $5.3 million compared to none in the year ended December 31, 2024. Investing activities for the year ended December 31, 2025 included $0.3 million for the acquisition of software applications, $4.1 million for the acquisition of license rights to certain titles, and $0.9 million in capitalized research and development expenditures for the development of software to be sold or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provided by (used in) financing activities for the year ended December 31, 2025 were $8.7 million compared to ($6.5) million for the year ended December 31, 2024. Financing activities for the year ended December 31, 2025 included proceeds from issuances of convertible notes of $6.0 million, borrowings on $3.5 million term loan, $2.0 million on the revolving line of credit and proceeds of $0.2 million resulting from the exercise of liability classified warrants partially offset by repayments of convertible notes of $2.3 million and additional repayments of notes payable of $0.6 million. Financing activities for the year ended December 31, 2024 included $6.4 million in debt payments, $0.3 million in payments of capitalized offering costs in accounts payable and proceeds of $0.2 million resulting from the exercise of liability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filed a Registration Statement on Form S-1 with the SEC in connection with our issuance of convertible note, equity line of credit and warrants related to each financing as noted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filed a universal shelf Registration Statement on Form S-3 that registered $50,000,000 of any combination of our Class A common stock, preferred stock, debt securities, warrants or units described therein, either individually or in combination with other securities. The “shelf” Registration Statement was declared effective on September 20, 2024 and was used to register pursuant to a prospectus supplement, dated August 7, 2025, to the “shelf” Registration Statement, the potential sale of up to $4.5 million of shares of our Class A common stock pursuant to the ATM Sales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we filed a Registration Statement on Form S-1 with the SEC in connection with our Class A shares of common stock underlying the convertible notes issued in the aggregate principal amount of $3.3 million maturing February 2026. The notes bore a 5% interest rate, and were repayable in 10 monthly installments starting May 21, 2025. These notes were convertible into Class A common stock at $5.00 per share,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filed a Registration Statement on Form S-1 with the SEC in connection with our Class A shares of common stock underlying two convertible notes issued in the aggregate principal amount of $3.3 million. The first note, issued October 24, 2025, has a principal amount of $2.2 million for proceeds of $2.0 million, bears a 5% interest rate, repayable in 10 monthly installments starting January 24, 2026 and maturing October 24, 2026. The second note, issued November 26, 2025, has a principal amount of $1.1 million for proceeds of $1.0 million, bears a 5% interest rate, repayable in 10 monthly installments starting February 26, 2026 and maturing November 26, 2026. These notes are convertible into Class A common stock at $5.00 per share, subject to certain exceptions as discussed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fund our operations from our net cash flows provided by operating activities as well as through public and private sales of our securities, and we expect to continue to seek and obtain additional capital in a similar manner. In addition to these cash flows, we have entered into certain debt arrangements to provide additional liquidity and to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On June 21, 2023, we further amended the 2021 Revolving Loan Agreement and decreased the maximum balance from $9.0 million to $6.0 million. As amended, the 2021 Revolving Loan would mature on December 31, 2023 and bore interest at a rate equal to the prime rate less 0.25% and a floor rate of 6.50%. Interest is due and payable under the 2021 Revolving Loan on a monthly basis. We amended the revolving loan agreement in January 2026, to extend the 2021 Revolving Loan maturity date to June 2026. In March 2026, the agreement was further amended to extend the maturity date to March 2030 and to reduce the maximum principal amount from $6,000,000 to $5,000,000 and pledging a $1,000,000 time certificate of deposit. As of December 31, 2025, we had borrowings of $5.0 million outstanding under our 2021 Revolving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entered into a loan agreement with a financial institution providing for a term loan in an aggregate principal amount of $3.0 million (the “2021 Term Loan”). The Term Loan, which is set to mature in June 2031, bears interest at a fixed rate of 3.5% for the first five years and then at a floating rate of the Wall Street Journal prime rate until maturity. The Term Loan is secured by our principal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Term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loan agreement with a financial institution providing for a term loan in an aggregate principal amount of $3.5 million. This loan is set to mature in June 2028, bears interest at a floating rate of 0.50% in excess of Wall Street Journal prime rate or a floor of 6.50% rate until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we issued convertible notes (the “2023 Convertible Notes) at a 7.4% discount and a principal balance of $1,080,000. The notes had an interest rate of 7.5%, were paid in consecutive monthly installments beginning February 24, 2024 and matured on May 24, 2024. We also issued to the purchasers of the 2023 Convertible Notes warrants to purchase an aggregate of 714,285 shares that were accounted for under the fair value method and allocated a value of $445,754. The difference of $525,754 between the proceeds allocated to the 2023 Convertible Notes and the aggregate principal amount was accreted over the life of the notes and accounted for the fair value of the warrants and the stated discount. Additionally, $152,500 of transaction costs incurred by us were recorded as a debt discount. The discount was amortized using the effective interest rate of 103.4%. The effective interest rate is based on the principal balance discounted by stated interest, debt issuance costs and fair value allocated to the related warrants. As of December 31, 2024, the 2023 Convertible Notes have been repaid. We registered shares for potential issuance on exercise of the warrants, or conversion of the note, under a registration statement on Form S-1 that was declared effective on October 30, 2023. As of December 31, 2024, the note holders have exercised 202,379 warrants. During the year ended December 31, 2024, prior to repayment, the noteholders exercised the option to convert $60,000 in principal of the notes to 71,460 shares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issued convertible notes (the “February 2025 Convertible Notes”) with an aggregate principal amount of $3,300,000 for gross proceeds of $3,000,000. The February 2025 Convertible Notes, which matured on February 21, 2026, carried an original issue discount of 10%, and were subject to a guaranteed interest equal to 5% of the principal amount. The principal and interest charges were payable in 10 equal monthly payments starting May 21, 2025. We are accounting for the convertible notes at fair value. As of February 28, 2026, the February 2025 Convertible Notes have been fully repaid and no amounts remain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issued a convertible note (the “October 2025 Convertible Note”) with an aggregate principal amount of $2,200,000 for gross proceeds of $2,000,000. The October 2025 Convertible Notes, which mature on October 24, 2026, carry an original issue discount of 10%, and are subject to a guaranteed interest equal to 5% of the principal amount. The principal and interest charges are payable in 10 equal monthly payments starting January 24, 2026. We are accounting for the convertible notes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issued a convertible note (the “November 2025 Convertible Note” and, together with the February 2025 Convertible Notes, and the October 2025 Convertible Note, and the “2025 Convertible Notes”) with an aggregate principal amount of $1,100,000 for gross proceeds of $1,000,000. The November 2025 Convertible Notes, which mature on November 26, 2026, carry an original issue discount of 10%, and are subject to a guaranteed interest equal to 5% of the principal amount. The principal and interest charges are payable in 10 equal monthly payments starting February 26, 2026. We are accounting for the convertible notes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Convertible Notes are ranked as a senior unsecured obligation of the Company with priority over all existing and future unsecured indebtedness. Subject to certain ownership limitations, all or portion of the then outstanding and unpaid principal and interest of the 2025 Convertible Notes can be converted at the option of the holder at any time into shares of our Class A common stock, at a conversion price of $5.00 per share, except that, for an aggregate of $577,500 of the conversion amount with respect to the October 2025 Convertible Note, and an aggregate of $288,750 of the conversion amount with respect to the November 2025 Convertible Note, the conversion price will be equal to the lesser of $5.00 per share or 92% of the lowest daily volume weighted average price of the Class A common stock during the 5 trading days period prior the receipt of the notice of conversion. The conversion price may be adjusted for certain customary dilutive events. We have registered the resale by the holders of the October 2025 Convertible Note and the November 2025 Convertible Note of an aggregate of 5,414,991 shares of Class A common stock issuable upon the conversion of such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we entered into a common stock purchase agreement (the “Equity Line Purchase Agreement”) and a registration rights agreement (the “Registration Rights Agreement”) with an investor, pursuant to which the investor has committed to purchase up to $5,000,000 in shares of the Class A common stock, subject to certain limitations and conditions set forth in the 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shares for potential issuance on exercise of the warrants, or drawing of the equity line, on a Registration Statement on Form S-1 that was declared effective on October 30, 2023. As of December 31, 2025, we have not sold any Class A common stock under the Equity Line Purchase Agreement and the agreement has expired. The investor has exercised 33,333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an At The Market Offering Agreement (the “ATM Sales Agreement”) with H.C. Wainwright &amp; Co., LLC, as sales agent (the “Sales Agent” or “Wainwright”) to sell shares of our Class A common stock from time to time, in an “at the market offering” program through Wainwright, with certain limitations on the amount of Class A common stock that may be offered and sold thereunder. The sales, if any, of the shares of Class A common stock made under the ATM Sales Agreement will be made by any method permitted by law deemed to be an “at the market offering” as defined in Rule 415(a)(4) promulgated under the Securities Act, including sales made directly on or through the Nasdaq or on any other existing trading market for the Class A common stock, directly to Wainwright as principal, in negotiated transactions at market prices prevailing at the time of sale or at prices related to such prevailing market prices, and/or in any other method permitted by law. Offers and sales of shares of Class A common stock by the Company, if any, under the ATM Sales Agreement, will be made through a prospectus supplement, dated August 7, 2025 and an accompanying base prospectus, dated September 20, 2024, contained therein (the “ATM Prospectus Supplement”), which ATM Prospectus Supplement forms a part of our shelf registration statement on Form S-3 (File 333-282030), initially filed by the Company with the SEC on September 11, 2024, and declared effective by the SEC on September 20, 2024. The aggregate market value of the shares of Class A common stock eligible for sale under the ATM Prospectus Supplement is currently $4,500,000, which is based on the limitations of General Instruction I.B.6 of Form S-3. During the year ended December 31, 2025, there were no sales of Class A common stock under the ATM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Revolving Loan, 2021 Term Loan, and the 2025 Term Loan require us to maintain a minimum debt service coverage ratio of 1.5 to 1.0. Additionally, the 2021 Revolving Loan requires us to maintain an outstanding principal balance of no more than $2.5 million for 30 consecutive days during any twelve-month period. For the trailing twelve months ended December 31, 2025, the Company has met the minimum debt service coverage ratio required by its debt covenants. Any failure to comply with the covenants, or receive waivers for the covenants, could lead to the acceleration of payments due under the debt facilities with the lender, cause the lender to cease making advances under the revolving agreement, or allow the lender to take possession of collateral.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regarding our indebtedness, see Note 12, </w:t>
      </w:r>
      <w:r>
        <w:rPr>
          <w:rFonts w:ascii="Times New Roman;Times;Serif" w:hAnsi="Times New Roman;Times;Serif"/>
          <w:b w:val="false"/>
          <w:i/>
          <w:caps w:val="false"/>
          <w:smallCaps w:val="false"/>
          <w:sz w:val="20"/>
        </w:rPr>
        <w:t xml:space="preserve">Revolving Loan, Short Term Note and Long-Term Debt </w:t>
      </w:r>
      <w:r>
        <w:rPr>
          <w:rFonts w:ascii="Times New Roman;Times;Serif" w:hAnsi="Times New Roman;Times;Serif"/>
          <w:b w:val="false"/>
          <w:i w:val="false"/>
          <w:caps w:val="false"/>
          <w:smallCaps w:val="false"/>
          <w:sz w:val="20"/>
        </w:rPr>
        <w:t>to our consolidated financial statements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discussion and analysis of results of operations, financial condition, and liquidity are based upon our consolidated financial statements, which have been prepared in accordance with U.S. GAAP. The preparation of these consolidated financial statements requires us to make estimates and judgements that affect the reported amounts of assets and liabilities and disclosure of contingent assets and liabilities at the date of the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to our consolidated financial statements included in this Annual Report. We believe that the following critical accounting policies and estimates have the greatest potential impact on our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Determining the Fair Value of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debt instruments for which we have elected the fair value option is estimated using an industry-standard binomial lattice framework incorporating unobservable inputs — including our own credit spread, equity volatility derived from historical stock prices, and risk-free rates — resulting in a Level 3 classification within the fair value hierarchy. These estimates are affected by fluctuations in our stock price, changes in our creditworthiness, shifts in market interest rates, and the probability and timing of conversion, prepayment and other settlement events. While most of these inputs are derived from objective market data or contractual terms, expected volatility requires significant management judgement as it is not directly observable. Changes in these inputs, including our credit spread or assumed equity volatility, could result in material fluctuations in the reported fair value of these liabilities, with corresponding gains or losses recognized in earnings.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Intangible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intangible assets, including game titles and film costs, for impairment whenever events or changes in circumstances indicate that the carrying value may not be recoverable, using estimated future cash flows, discount rates, and title-specific performance assumptions that require significant management judgment. Such estimates are subject to inherent uncertainty and are influenced by factors including, but not limited to, title-specific revenue projections, changes in marketing plans, and observed digital content consumption patterns. The applicable discount rate is also subject to variability and may materially affect the determination of fair value. If the carrying value of an asset exceeds its estimated future discounted cash flows, we recognize an impairment charge for the difference. Changes in these underlying assumptions — including actual player engagement, licensing performance, or film revenues — could have a material impact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We recognize deferred income taxes based on estimates of future taxable income and the utilization of tax loss carryforwards. In evaluating the realizability of deferred taxes, we evaluate all available positive and negative evidence of whether sufficient future taxable income will be generated to realize the deferred tax assets, including the results of recent operations and projections of future taxable income. The weighing of positive and negative evidence and the projection of future taxable income requires significant judgment and estimates. In addition, changes in these estimates may have a material impact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b w:val="false"/>
          <w:i/>
          <w:caps w:val="false"/>
          <w:smallCaps w:val="false"/>
          <w:sz w:val="20"/>
        </w:rPr>
        <w:t xml:space="preserve">Summary of Significant Accounting Policies </w:t>
      </w:r>
      <w:r>
        <w:rPr>
          <w:rFonts w:ascii="Times New Roman;Times;Serif" w:hAnsi="Times New Roman;Times;Serif"/>
          <w:b w:val="false"/>
          <w:i w:val="false"/>
          <w:caps w:val="false"/>
          <w:smallCaps w:val="false"/>
          <w:sz w:val="20"/>
        </w:rPr>
        <w:t>to our Consolidated Financial Statements included in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sq_010"/>
      <w:bookmarkEnd w:id="60"/>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 of Regulation S-K, we are not required to provide the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sq_011"/>
      <w:bookmarkEnd w:id="61"/>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left"/>
              <w:rPr/>
            </w:pPr>
            <w:hyperlink w:anchor="an_001">
              <w:r>
                <w:rPr>
                  <w:rStyle w:val="InternetLink"/>
                  <w:rFonts w:ascii="Times New Roman;Times;Serif" w:hAnsi="Times New Roman;Times;Serif"/>
                  <w:b w:val="false"/>
                  <w:i w:val="false"/>
                  <w:caps w:val="false"/>
                  <w:smallCaps w:val="false"/>
                  <w:sz w:val="20"/>
                </w:rPr>
                <w:t xml:space="preserve">Report of Independent Registered Public Accounting Firm (BDO USA, P.C.; Costa Mesa, California; </w:t>
              </w:r>
            </w:hyperlink>
            <w:r>
              <w:rPr>
                <w:rFonts w:ascii="Times New Roman;Times;Serif" w:hAnsi="Times New Roman;Times;Serif"/>
                <w:b w:val="false"/>
                <w:i w:val="false"/>
                <w:caps w:val="false"/>
                <w:smallCaps w:val="false"/>
                <w:sz w:val="20"/>
              </w:rPr>
              <w:t xml:space="preserve">PCAOB ID No. </w:t>
            </w:r>
            <w:bookmarkStart w:id="62" w:name="xdx_90E_edei--AuditorFirmId_c20250101__2"/>
            <w:bookmarkEnd w:id="62"/>
            <w:r>
              <w:rPr>
                <w:rFonts w:ascii="Times New Roman;Times;Serif" w:hAnsi="Times New Roman;Times;Serif"/>
                <w:b w:val="false"/>
                <w:i w:val="false"/>
                <w:caps w:val="false"/>
                <w:smallCaps w:val="false"/>
                <w:sz w:val="20"/>
              </w:rPr>
              <w:t>243)</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FFFFFF" w:val="clear"/>
            <w:vAlign w:val="center"/>
          </w:tcPr>
          <w:p>
            <w:pPr>
              <w:pStyle w:val="TableContents"/>
              <w:bidi w:val="0"/>
              <w:spacing w:before="0" w:after="283"/>
              <w:jc w:val="left"/>
              <w:rPr/>
            </w:pPr>
            <w:hyperlink w:anchor="an_002">
              <w:r>
                <w:rPr>
                  <w:rStyle w:val="InternetLink"/>
                  <w:rFonts w:ascii="Times New Roman;Times;Serif" w:hAnsi="Times New Roman;Times;Serif"/>
                  <w:b w:val="false"/>
                  <w:i w:val="false"/>
                  <w:caps w:val="false"/>
                  <w:smallCaps w:val="false"/>
                  <w:sz w:val="20"/>
                </w:rPr>
                <w:t>Consolidated Balance Sheets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CCEEFF" w:val="clear"/>
            <w:vAlign w:val="center"/>
          </w:tcPr>
          <w:p>
            <w:pPr>
              <w:pStyle w:val="TableContents"/>
              <w:bidi w:val="0"/>
              <w:spacing w:before="0" w:after="283"/>
              <w:jc w:val="left"/>
              <w:rPr/>
            </w:pPr>
            <w:hyperlink w:anchor="an_003">
              <w:r>
                <w:rPr>
                  <w:rStyle w:val="InternetLink"/>
                  <w:rFonts w:ascii="Times New Roman;Times;Serif" w:hAnsi="Times New Roman;Times;Serif"/>
                  <w:b w:val="false"/>
                  <w:i w:val="false"/>
                  <w:caps w:val="false"/>
                  <w:smallCaps w:val="false"/>
                  <w:sz w:val="20"/>
                </w:rPr>
                <w:t>Consolidated Statements of Operations and Comprehensive Income (Loss)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FFFFFF" w:val="clear"/>
            <w:vAlign w:val="center"/>
          </w:tcPr>
          <w:p>
            <w:pPr>
              <w:pStyle w:val="TableContents"/>
              <w:bidi w:val="0"/>
              <w:spacing w:before="0" w:after="283"/>
              <w:jc w:val="left"/>
              <w:rPr/>
            </w:pPr>
            <w:hyperlink w:anchor="an_004">
              <w:r>
                <w:rPr>
                  <w:rStyle w:val="InternetLink"/>
                  <w:rFonts w:ascii="Times New Roman;Times;Serif" w:hAnsi="Times New Roman;Times;Serif"/>
                  <w:b w:val="false"/>
                  <w:i w:val="false"/>
                  <w:caps w:val="false"/>
                  <w:smallCaps w:val="false"/>
                  <w:sz w:val="20"/>
                </w:rPr>
                <w:t>Consolidated Statements of Equity (Deficit)</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CCEEFF" w:val="clear"/>
            <w:vAlign w:val="center"/>
          </w:tcPr>
          <w:p>
            <w:pPr>
              <w:pStyle w:val="TableContents"/>
              <w:bidi w:val="0"/>
              <w:spacing w:before="0" w:after="283"/>
              <w:jc w:val="left"/>
              <w:rPr/>
            </w:pPr>
            <w:hyperlink w:anchor="an_005">
              <w:r>
                <w:rPr>
                  <w:rStyle w:val="InternetLink"/>
                  <w:rFonts w:ascii="Times New Roman;Times;Serif" w:hAnsi="Times New Roman;Times;Serif"/>
                  <w:b w:val="false"/>
                  <w:i w:val="false"/>
                  <w:caps w:val="false"/>
                  <w:smallCaps w:val="false"/>
                  <w:sz w:val="20"/>
                </w:rPr>
                <w:t>Consolidated Statements of Cash Flows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50" w:type="dxa"/>
            <w:tcBorders/>
            <w:shd w:fill="FFFFFF" w:val="clear"/>
            <w:vAlign w:val="center"/>
          </w:tcPr>
          <w:p>
            <w:pPr>
              <w:pStyle w:val="TableContents"/>
              <w:bidi w:val="0"/>
              <w:spacing w:before="0" w:after="283"/>
              <w:jc w:val="left"/>
              <w:rPr/>
            </w:pPr>
            <w:hyperlink w:anchor="an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n_001"/>
      <w:bookmarkEnd w:id="6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Culver City,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4" w:name="xdx_90C_edei--AuditorOpinionTextBlock_c2"/>
      <w:bookmarkEnd w:id="64"/>
      <w:r>
        <w:rPr>
          <w:rFonts w:ascii="Times New Roman;Times;Serif" w:hAnsi="Times New Roman;Times;Serif"/>
          <w:b w:val="false"/>
          <w:i w:val="false"/>
          <w:caps w:val="false"/>
          <w:smallCaps w:val="false"/>
          <w:sz w:val="20"/>
        </w:rPr>
        <w:t>We have audited the accompanying consolidated balance sheets of Snail, Inc. (the “Company”) as of December 31, 2025 and 2024, the related consolidated statements of operations and comprehensive income (loss),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65" w:name="xdx_901_edei--AuditorName_c20250101__202"/>
      <w:bookmarkEnd w:id="65"/>
      <w:r>
        <w:rPr>
          <w:rFonts w:ascii="Times New Roman;Times;Serif" w:hAnsi="Times New Roman;Times;Serif"/>
          <w:b w:val="false"/>
          <w:i w:val="false"/>
          <w:caps w:val="false"/>
          <w:smallCaps w:val="false"/>
          <w:sz w:val="20"/>
        </w:rPr>
        <w:t>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 w:name="xdx_90B_edei--AuditorLocation_c20250101_"/>
      <w:bookmarkEnd w:id="66"/>
      <w:r>
        <w:rPr>
          <w:rFonts w:ascii="Times New Roman;Times;Serif" w:hAnsi="Times New Roman;Times;Serif"/>
          <w:b w:val="false"/>
          <w:i w:val="false"/>
          <w:caps w:val="false"/>
          <w:smallCaps w:val="false"/>
          <w:sz w:val="20"/>
        </w:rPr>
        <w:t>Costa Mesa,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 w:name="an_002"/>
      <w:bookmarkEnd w:id="67"/>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as of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 w:name="xdx_30A_111_zJeUeKeoSFh8"/>
      <w:bookmarkStart w:id="69" w:name="xdx_30A_111_zJeUeKeoSFh8"/>
      <w:bookmarkEnd w:id="69"/>
    </w:p>
    <w:tbl>
      <w:tblPr>
        <w:tblW w:w="10205" w:type="dxa"/>
        <w:jc w:val="left"/>
        <w:tblInd w:w="0" w:type="dxa"/>
        <w:tblLayout w:type="fixed"/>
        <w:tblCellMar>
          <w:top w:w="0" w:type="dxa"/>
          <w:left w:w="0" w:type="dxa"/>
          <w:bottom w:w="0" w:type="dxa"/>
          <w:right w:w="0" w:type="dxa"/>
        </w:tblCellMar>
      </w:tblPr>
      <w:tblGrid>
        <w:gridCol w:w="6982"/>
        <w:gridCol w:w="60"/>
        <w:gridCol w:w="154"/>
        <w:gridCol w:w="1294"/>
        <w:gridCol w:w="95"/>
        <w:gridCol w:w="60"/>
        <w:gridCol w:w="154"/>
        <w:gridCol w:w="1294"/>
        <w:gridCol w:w="112"/>
      </w:tblGrid>
      <w:tr>
        <w:trPr/>
        <w:tc>
          <w:tcPr>
            <w:tcW w:w="69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0" w:name="xdx_496_20251231_zbLKPZx7Pm65"/>
            <w:bookmarkEnd w:id="70"/>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 w:name="xdx_496_20241231_ziKj47nxteu"/>
            <w:bookmarkEnd w:id="71"/>
          </w:p>
        </w:tc>
        <w:tc>
          <w:tcPr>
            <w:tcW w:w="144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December 31, 2024</w:t>
            </w:r>
          </w:p>
        </w:tc>
        <w:tc>
          <w:tcPr>
            <w:tcW w:w="112" w:type="dxa"/>
            <w:tcBorders/>
            <w:vAlign w:val="center"/>
          </w:tcPr>
          <w:p>
            <w:pPr>
              <w:pStyle w:val="TableContents"/>
              <w:bidi w:val="0"/>
              <w:spacing w:before="0" w:after="283"/>
              <w:jc w:val="left"/>
              <w:rPr/>
            </w:pPr>
            <w:r>
              <w:rPr/>
              <w:t> </w:t>
            </w:r>
          </w:p>
        </w:tc>
      </w:tr>
      <w:tr>
        <w:trPr/>
        <w:tc>
          <w:tcPr>
            <w:tcW w:w="6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72" w:name="xdx_400_eus-gaap--AssetsAbstract_iB_zGxA"/>
            <w:bookmarkEnd w:id="72"/>
          </w:p>
        </w:tc>
      </w:tr>
      <w:tr>
        <w:trPr/>
        <w:tc>
          <w:tcPr>
            <w:tcW w:w="698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3" w:name="xdx_40C_eus-gaap--AssetsCurrentAbstract_"/>
            <w:bookmarkEnd w:id="73"/>
          </w:p>
        </w:tc>
      </w:tr>
      <w:tr>
        <w:trPr/>
        <w:tc>
          <w:tcPr>
            <w:tcW w:w="6982"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4" w:name="xdx_40F_eus-gaap--CashAndCashEquivalents"/>
            <w:bookmarkEnd w:id="74"/>
          </w:p>
        </w:tc>
      </w:tr>
      <w:tr>
        <w:trPr/>
        <w:tc>
          <w:tcPr>
            <w:tcW w:w="698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8,568,164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7,303,944</w:t>
            </w:r>
          </w:p>
        </w:tc>
        <w:tc>
          <w:tcPr>
            <w:tcW w:w="112" w:type="dxa"/>
            <w:tcBorders/>
            <w:shd w:fill="FFFFFF" w:val="clear"/>
            <w:vAlign w:val="center"/>
          </w:tcPr>
          <w:p>
            <w:pPr>
              <w:pStyle w:val="TableContents"/>
              <w:bidi w:val="0"/>
              <w:spacing w:before="0" w:after="283"/>
              <w:jc w:val="left"/>
              <w:rPr/>
            </w:pPr>
            <w:r>
              <w:rPr/>
              <w:t> </w:t>
            </w:r>
            <w:bookmarkStart w:id="75" w:name="xdx_408_eus-gaap--RestrictedCashAndCashE"/>
            <w:bookmarkEnd w:id="75"/>
          </w:p>
        </w:tc>
      </w:tr>
      <w:tr>
        <w:trPr/>
        <w:tc>
          <w:tcPr>
            <w:tcW w:w="6982" w:type="dxa"/>
            <w:tcBorders/>
            <w:shd w:fill="CCEEFF" w:val="clear"/>
            <w:vAlign w:val="center"/>
          </w:tcPr>
          <w:p>
            <w:pPr>
              <w:pStyle w:val="TableContents"/>
              <w:bidi w:val="0"/>
              <w:spacing w:before="0" w:after="283"/>
              <w:jc w:val="left"/>
              <w:rPr/>
            </w:pPr>
            <w:r>
              <w:rPr/>
              <w:t>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187,000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76" w:name="xdx_40E_eus-gaap--AccountsReceivableNetC"/>
            <w:bookmarkEnd w:id="76"/>
          </w:p>
        </w:tc>
      </w:tr>
      <w:tr>
        <w:trPr/>
        <w:tc>
          <w:tcPr>
            <w:tcW w:w="6982" w:type="dxa"/>
            <w:tcBorders/>
            <w:shd w:fill="FFFFFF" w:val="clear"/>
            <w:vAlign w:val="center"/>
          </w:tcPr>
          <w:p>
            <w:pPr>
              <w:pStyle w:val="TableContents"/>
              <w:bidi w:val="0"/>
              <w:spacing w:before="0" w:after="283"/>
              <w:jc w:val="left"/>
              <w:rPr/>
            </w:pPr>
            <w:r>
              <w:rPr/>
              <w:t>Accounts receivable, net of allowances for credit losses of $</w:t>
            </w:r>
            <w:bookmarkStart w:id="77" w:name="xdx_905_eus-gaap--AllowanceForDoubtfulAc"/>
            <w:bookmarkStart w:id="78" w:name="xdx_90D_eus-gaap--AllowanceForDoubtfulAc"/>
            <w:bookmarkEnd w:id="77"/>
            <w:bookmarkEnd w:id="78"/>
            <w:r>
              <w:rPr/>
              <w:t>523,500 as of December 31, 2025 and 2024</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12,528,347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9,814,822</w:t>
            </w:r>
          </w:p>
        </w:tc>
        <w:tc>
          <w:tcPr>
            <w:tcW w:w="112" w:type="dxa"/>
            <w:tcBorders/>
            <w:shd w:fill="FFFFFF" w:val="clear"/>
            <w:vAlign w:val="center"/>
          </w:tcPr>
          <w:p>
            <w:pPr>
              <w:pStyle w:val="TableContents"/>
              <w:bidi w:val="0"/>
              <w:spacing w:before="0" w:after="283"/>
              <w:jc w:val="left"/>
              <w:rPr/>
            </w:pPr>
            <w:r>
              <w:rPr/>
              <w:t> </w:t>
            </w:r>
            <w:bookmarkStart w:id="79" w:name="xdx_40B_eus-gaap--AccountsReceivableNetC"/>
            <w:bookmarkEnd w:id="79"/>
          </w:p>
        </w:tc>
      </w:tr>
      <w:tr>
        <w:trPr/>
        <w:tc>
          <w:tcPr>
            <w:tcW w:w="6982"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2,336,274</w:t>
            </w:r>
          </w:p>
        </w:tc>
        <w:tc>
          <w:tcPr>
            <w:tcW w:w="112" w:type="dxa"/>
            <w:tcBorders/>
            <w:shd w:fill="CCEEFF" w:val="clear"/>
            <w:vAlign w:val="center"/>
          </w:tcPr>
          <w:p>
            <w:pPr>
              <w:pStyle w:val="TableContents"/>
              <w:bidi w:val="0"/>
              <w:spacing w:before="0" w:after="283"/>
              <w:jc w:val="left"/>
              <w:rPr/>
            </w:pPr>
            <w:r>
              <w:rPr/>
              <w:t> </w:t>
            </w:r>
            <w:bookmarkStart w:id="80" w:name="xdx_40F_eus-gaap--AccountsReceivableNetC"/>
            <w:bookmarkEnd w:id="80"/>
          </w:p>
        </w:tc>
      </w:tr>
      <w:tr>
        <w:trPr/>
        <w:tc>
          <w:tcPr>
            <w:tcW w:w="698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2,336,274</w:t>
            </w:r>
          </w:p>
        </w:tc>
        <w:tc>
          <w:tcPr>
            <w:tcW w:w="112" w:type="dxa"/>
            <w:tcBorders/>
            <w:shd w:fill="FFFFFF" w:val="clear"/>
            <w:vAlign w:val="center"/>
          </w:tcPr>
          <w:p>
            <w:pPr>
              <w:pStyle w:val="TableContents"/>
              <w:bidi w:val="0"/>
              <w:spacing w:before="0" w:after="283"/>
              <w:jc w:val="left"/>
              <w:rPr/>
            </w:pPr>
            <w:r>
              <w:rPr/>
              <w:t> </w:t>
            </w:r>
            <w:bookmarkStart w:id="81" w:name="xdx_40B_eus-gaap--OtherReceivablesNetCur"/>
            <w:bookmarkEnd w:id="81"/>
          </w:p>
        </w:tc>
      </w:tr>
      <w:tr>
        <w:trPr/>
        <w:tc>
          <w:tcPr>
            <w:tcW w:w="6982" w:type="dxa"/>
            <w:tcBorders/>
            <w:shd w:fill="FFFFFF" w:val="clear"/>
            <w:vAlign w:val="center"/>
          </w:tcPr>
          <w:p>
            <w:pPr>
              <w:pStyle w:val="TableContents"/>
              <w:bidi w:val="0"/>
              <w:spacing w:before="0" w:after="283"/>
              <w:jc w:val="left"/>
              <w:rPr/>
            </w:pPr>
            <w:r>
              <w:rPr/>
              <w:t>Loan and interest receivable – related party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107,759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105,759</w:t>
            </w:r>
          </w:p>
        </w:tc>
        <w:tc>
          <w:tcPr>
            <w:tcW w:w="112" w:type="dxa"/>
            <w:tcBorders/>
            <w:shd w:fill="FFFFFF" w:val="clear"/>
            <w:vAlign w:val="center"/>
          </w:tcPr>
          <w:p>
            <w:pPr>
              <w:pStyle w:val="TableContents"/>
              <w:bidi w:val="0"/>
              <w:spacing w:before="0" w:after="283"/>
              <w:jc w:val="left"/>
              <w:rPr/>
            </w:pPr>
            <w:r>
              <w:rPr/>
              <w:t> </w:t>
            </w:r>
            <w:bookmarkStart w:id="82" w:name="xdx_402_ecustom--PrepaidExpensesRelatedP"/>
            <w:bookmarkEnd w:id="82"/>
          </w:p>
        </w:tc>
      </w:tr>
      <w:tr>
        <w:trPr/>
        <w:tc>
          <w:tcPr>
            <w:tcW w:w="6982" w:type="dxa"/>
            <w:tcBorders/>
            <w:shd w:fill="CCEEFF" w:val="clear"/>
            <w:vAlign w:val="center"/>
          </w:tcPr>
          <w:p>
            <w:pPr>
              <w:pStyle w:val="TableContents"/>
              <w:bidi w:val="0"/>
              <w:spacing w:before="0" w:after="283"/>
              <w:jc w:val="left"/>
              <w:rPr/>
            </w:pPr>
            <w:r>
              <w:rPr/>
              <w:t>Prepaid expenses –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2,700,474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2,521,291</w:t>
            </w:r>
          </w:p>
        </w:tc>
        <w:tc>
          <w:tcPr>
            <w:tcW w:w="112" w:type="dxa"/>
            <w:tcBorders/>
            <w:shd w:fill="CCEEFF" w:val="clear"/>
            <w:vAlign w:val="center"/>
          </w:tcPr>
          <w:p>
            <w:pPr>
              <w:pStyle w:val="TableContents"/>
              <w:bidi w:val="0"/>
              <w:spacing w:before="0" w:after="283"/>
              <w:jc w:val="left"/>
              <w:rPr/>
            </w:pPr>
            <w:r>
              <w:rPr/>
              <w:t> </w:t>
            </w:r>
            <w:bookmarkStart w:id="83" w:name="xdx_400_eus-gaap--PrepaidExpenseAndOther"/>
            <w:bookmarkEnd w:id="83"/>
          </w:p>
        </w:tc>
      </w:tr>
      <w:tr>
        <w:trPr/>
        <w:tc>
          <w:tcPr>
            <w:tcW w:w="698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2,232,485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1,846,024</w:t>
            </w:r>
          </w:p>
        </w:tc>
        <w:tc>
          <w:tcPr>
            <w:tcW w:w="112" w:type="dxa"/>
            <w:tcBorders/>
            <w:shd w:fill="FFFFFF" w:val="clear"/>
            <w:vAlign w:val="center"/>
          </w:tcPr>
          <w:p>
            <w:pPr>
              <w:pStyle w:val="TableContents"/>
              <w:bidi w:val="0"/>
              <w:spacing w:before="0" w:after="283"/>
              <w:jc w:val="left"/>
              <w:rPr/>
            </w:pPr>
            <w:r>
              <w:rPr/>
              <w:t> </w:t>
            </w:r>
            <w:bookmarkStart w:id="84" w:name="xdx_409_eus-gaap--PrepaidTaxes_i02I_maAC"/>
            <w:bookmarkEnd w:id="84"/>
          </w:p>
        </w:tc>
      </w:tr>
      <w:tr>
        <w:trPr/>
        <w:tc>
          <w:tcPr>
            <w:tcW w:w="6982" w:type="dxa"/>
            <w:tcBorders/>
            <w:shd w:fill="CCEEFF" w:val="clear"/>
            <w:vAlign w:val="center"/>
          </w:tcPr>
          <w:p>
            <w:pPr>
              <w:pStyle w:val="TableContents"/>
              <w:bidi w:val="0"/>
              <w:spacing w:before="0" w:after="283"/>
              <w:jc w:val="left"/>
              <w:rPr/>
            </w:pPr>
            <w:r>
              <w:rPr/>
              <w:t>Prepaid taxes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4,734,007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7,318,424</w:t>
            </w:r>
          </w:p>
        </w:tc>
        <w:tc>
          <w:tcPr>
            <w:tcW w:w="112" w:type="dxa"/>
            <w:tcBorders/>
            <w:shd w:fill="CCEEFF" w:val="clear"/>
            <w:vAlign w:val="center"/>
          </w:tcPr>
          <w:p>
            <w:pPr>
              <w:pStyle w:val="TableContents"/>
              <w:bidi w:val="0"/>
              <w:spacing w:before="0" w:after="283"/>
              <w:jc w:val="left"/>
              <w:rPr/>
            </w:pPr>
            <w:r>
              <w:rPr/>
              <w:t> </w:t>
            </w:r>
            <w:bookmarkStart w:id="85" w:name="xdx_40D_eus-gaap--AssetsCurrent_i02TI_mt"/>
            <w:bookmarkEnd w:id="85"/>
          </w:p>
        </w:tc>
      </w:tr>
      <w:tr>
        <w:trPr/>
        <w:tc>
          <w:tcPr>
            <w:tcW w:w="698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31,058,236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31,246,538</w:t>
            </w:r>
          </w:p>
        </w:tc>
        <w:tc>
          <w:tcPr>
            <w:tcW w:w="112" w:type="dxa"/>
            <w:tcBorders/>
            <w:shd w:fill="FFFFFF" w:val="clear"/>
            <w:vAlign w:val="center"/>
          </w:tcPr>
          <w:p>
            <w:pPr>
              <w:pStyle w:val="TableContents"/>
              <w:bidi w:val="0"/>
              <w:spacing w:before="0" w:after="283"/>
              <w:jc w:val="left"/>
              <w:rPr/>
            </w:pPr>
            <w:r>
              <w:rPr/>
              <w:t> </w:t>
            </w:r>
          </w:p>
        </w:tc>
      </w:tr>
      <w:tr>
        <w:trPr/>
        <w:tc>
          <w:tcPr>
            <w:tcW w:w="6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6" w:name="xdx_402_eus-gaap--RestrictedCashAndCashE"/>
            <w:bookmarkEnd w:id="86"/>
          </w:p>
        </w:tc>
      </w:tr>
      <w:tr>
        <w:trPr/>
        <w:tc>
          <w:tcPr>
            <w:tcW w:w="6982" w:type="dxa"/>
            <w:tcBorders/>
            <w:shd w:fill="FFFFFF" w:val="clear"/>
            <w:vAlign w:val="center"/>
          </w:tcPr>
          <w:p>
            <w:pPr>
              <w:pStyle w:val="TableContents"/>
              <w:bidi w:val="0"/>
              <w:spacing w:before="0" w:after="283"/>
              <w:jc w:val="left"/>
              <w:rPr/>
            </w:pPr>
            <w:r>
              <w:rPr/>
              <w:t>Restricted cash and cash equivalents, net of current portion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1,748,000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935,000</w:t>
            </w:r>
          </w:p>
        </w:tc>
        <w:tc>
          <w:tcPr>
            <w:tcW w:w="112" w:type="dxa"/>
            <w:tcBorders/>
            <w:shd w:fill="FFFFFF" w:val="clear"/>
            <w:vAlign w:val="center"/>
          </w:tcPr>
          <w:p>
            <w:pPr>
              <w:pStyle w:val="TableContents"/>
              <w:bidi w:val="0"/>
              <w:spacing w:before="0" w:after="283"/>
              <w:jc w:val="left"/>
              <w:rPr/>
            </w:pPr>
            <w:r>
              <w:rPr/>
              <w:t> </w:t>
            </w:r>
            <w:bookmarkStart w:id="87" w:name="xdx_402_eus-gaap--AccountsReceivableNetN"/>
            <w:bookmarkEnd w:id="87"/>
          </w:p>
        </w:tc>
      </w:tr>
      <w:tr>
        <w:trPr/>
        <w:tc>
          <w:tcPr>
            <w:tcW w:w="6982" w:type="dxa"/>
            <w:tcBorders/>
            <w:shd w:fill="CCEEFF" w:val="clear"/>
            <w:vAlign w:val="center"/>
          </w:tcPr>
          <w:p>
            <w:pPr>
              <w:pStyle w:val="TableContents"/>
              <w:bidi w:val="0"/>
              <w:spacing w:before="0" w:after="283"/>
              <w:jc w:val="left"/>
              <w:rPr/>
            </w:pPr>
            <w:r>
              <w:rPr/>
              <w:t>Accounts receivable – related party,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1,500,592</w:t>
            </w:r>
          </w:p>
        </w:tc>
        <w:tc>
          <w:tcPr>
            <w:tcW w:w="112" w:type="dxa"/>
            <w:tcBorders/>
            <w:shd w:fill="CCEEFF" w:val="clear"/>
            <w:vAlign w:val="center"/>
          </w:tcPr>
          <w:p>
            <w:pPr>
              <w:pStyle w:val="TableContents"/>
              <w:bidi w:val="0"/>
              <w:spacing w:before="0" w:after="283"/>
              <w:jc w:val="left"/>
              <w:rPr/>
            </w:pPr>
            <w:r>
              <w:rPr/>
              <w:t> </w:t>
            </w:r>
            <w:bookmarkStart w:id="88" w:name="xdx_408_ecustom--PrepaidExpensesRelatedP"/>
            <w:bookmarkEnd w:id="88"/>
          </w:p>
        </w:tc>
      </w:tr>
      <w:tr>
        <w:trPr/>
        <w:tc>
          <w:tcPr>
            <w:tcW w:w="6982" w:type="dxa"/>
            <w:tcBorders/>
            <w:shd w:fill="FFFFFF" w:val="clear"/>
            <w:vAlign w:val="center"/>
          </w:tcPr>
          <w:p>
            <w:pPr>
              <w:pStyle w:val="TableContents"/>
              <w:bidi w:val="0"/>
              <w:spacing w:before="0" w:after="283"/>
              <w:jc w:val="left"/>
              <w:rPr/>
            </w:pPr>
            <w:r>
              <w:rPr/>
              <w:t>Prepaid expenses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8,282,974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9,378,594</w:t>
            </w:r>
          </w:p>
        </w:tc>
        <w:tc>
          <w:tcPr>
            <w:tcW w:w="112" w:type="dxa"/>
            <w:tcBorders/>
            <w:shd w:fill="FFFFFF" w:val="clear"/>
            <w:vAlign w:val="center"/>
          </w:tcPr>
          <w:p>
            <w:pPr>
              <w:pStyle w:val="TableContents"/>
              <w:bidi w:val="0"/>
              <w:spacing w:before="0" w:after="283"/>
              <w:jc w:val="left"/>
              <w:rPr/>
            </w:pPr>
            <w:r>
              <w:rPr/>
              <w:t> </w:t>
            </w:r>
            <w:bookmarkStart w:id="89" w:name="xdx_407_eus-gaap--PropertyPlantAndEquipm"/>
            <w:bookmarkEnd w:id="89"/>
          </w:p>
        </w:tc>
      </w:tr>
      <w:tr>
        <w:trPr/>
        <w:tc>
          <w:tcPr>
            <w:tcW w:w="698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4,146,175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4,378,352</w:t>
            </w:r>
          </w:p>
        </w:tc>
        <w:tc>
          <w:tcPr>
            <w:tcW w:w="112" w:type="dxa"/>
            <w:tcBorders/>
            <w:shd w:fill="CCEEFF" w:val="clear"/>
            <w:vAlign w:val="center"/>
          </w:tcPr>
          <w:p>
            <w:pPr>
              <w:pStyle w:val="TableContents"/>
              <w:bidi w:val="0"/>
              <w:spacing w:before="0" w:after="283"/>
              <w:jc w:val="left"/>
              <w:rPr/>
            </w:pPr>
            <w:r>
              <w:rPr/>
              <w:t> </w:t>
            </w:r>
            <w:bookmarkStart w:id="90" w:name="xdx_40A_eus-gaap--IntangibleAssetsNetExc"/>
            <w:bookmarkEnd w:id="90"/>
          </w:p>
        </w:tc>
      </w:tr>
      <w:tr>
        <w:trPr/>
        <w:tc>
          <w:tcPr>
            <w:tcW w:w="6982"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3,827,927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973,914</w:t>
            </w:r>
          </w:p>
        </w:tc>
        <w:tc>
          <w:tcPr>
            <w:tcW w:w="112" w:type="dxa"/>
            <w:tcBorders/>
            <w:shd w:fill="FFFFFF" w:val="clear"/>
            <w:vAlign w:val="center"/>
          </w:tcPr>
          <w:p>
            <w:pPr>
              <w:pStyle w:val="TableContents"/>
              <w:bidi w:val="0"/>
              <w:spacing w:before="0" w:after="283"/>
              <w:jc w:val="left"/>
              <w:rPr/>
            </w:pPr>
            <w:r>
              <w:rPr/>
              <w:t> </w:t>
            </w:r>
            <w:bookmarkStart w:id="91" w:name="xdx_404_eus-gaap--IntangibleAssetsNetExc"/>
            <w:bookmarkEnd w:id="91"/>
          </w:p>
        </w:tc>
      </w:tr>
      <w:tr>
        <w:trPr/>
        <w:tc>
          <w:tcPr>
            <w:tcW w:w="6982" w:type="dxa"/>
            <w:tcBorders/>
            <w:shd w:fill="CCEEFF" w:val="clear"/>
            <w:vAlign w:val="center"/>
          </w:tcPr>
          <w:p>
            <w:pPr>
              <w:pStyle w:val="TableContents"/>
              <w:bidi w:val="0"/>
              <w:spacing w:before="0" w:after="283"/>
              <w:jc w:val="left"/>
              <w:rPr/>
            </w:pPr>
            <w:r>
              <w:rPr/>
              <w:t>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4,916,667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92" w:name="xdx_409_eus-gaap--IntangibleAssetsNetExc"/>
            <w:bookmarkEnd w:id="92"/>
          </w:p>
        </w:tc>
      </w:tr>
      <w:tr>
        <w:trPr/>
        <w:tc>
          <w:tcPr>
            <w:tcW w:w="6982"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4,916,667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93" w:name="xdx_40E_eus-gaap--DeferredIncomeTaxAsset"/>
            <w:bookmarkEnd w:id="93"/>
          </w:p>
        </w:tc>
      </w:tr>
      <w:tr>
        <w:trPr/>
        <w:tc>
          <w:tcPr>
            <w:tcW w:w="6982"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10,817,112</w:t>
            </w:r>
          </w:p>
        </w:tc>
        <w:tc>
          <w:tcPr>
            <w:tcW w:w="112" w:type="dxa"/>
            <w:tcBorders/>
            <w:shd w:fill="FFFFFF" w:val="clear"/>
            <w:vAlign w:val="center"/>
          </w:tcPr>
          <w:p>
            <w:pPr>
              <w:pStyle w:val="TableContents"/>
              <w:bidi w:val="0"/>
              <w:spacing w:before="0" w:after="283"/>
              <w:jc w:val="left"/>
              <w:rPr/>
            </w:pPr>
            <w:r>
              <w:rPr/>
              <w:t> </w:t>
            </w:r>
            <w:bookmarkStart w:id="94" w:name="xdx_404_eus-gaap--OtherAssetsNoncurrent_"/>
            <w:bookmarkEnd w:id="94"/>
          </w:p>
        </w:tc>
      </w:tr>
      <w:tr>
        <w:trPr/>
        <w:tc>
          <w:tcPr>
            <w:tcW w:w="6982" w:type="dxa"/>
            <w:tcBorders/>
            <w:shd w:fill="CCEEFF" w:val="clear"/>
            <w:vAlign w:val="center"/>
          </w:tcPr>
          <w:p>
            <w:pPr>
              <w:pStyle w:val="TableContents"/>
              <w:bidi w:val="0"/>
              <w:spacing w:before="0" w:after="283"/>
              <w:jc w:val="left"/>
              <w:rPr/>
            </w:pPr>
            <w:r>
              <w:rPr/>
              <w:t>Other noncurrent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604,793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1,683,932</w:t>
            </w:r>
          </w:p>
        </w:tc>
        <w:tc>
          <w:tcPr>
            <w:tcW w:w="112" w:type="dxa"/>
            <w:tcBorders/>
            <w:shd w:fill="CCEEFF" w:val="clear"/>
            <w:vAlign w:val="center"/>
          </w:tcPr>
          <w:p>
            <w:pPr>
              <w:pStyle w:val="TableContents"/>
              <w:bidi w:val="0"/>
              <w:spacing w:before="0" w:after="283"/>
              <w:jc w:val="left"/>
              <w:rPr/>
            </w:pPr>
            <w:r>
              <w:rPr/>
              <w:t> </w:t>
            </w:r>
            <w:bookmarkStart w:id="95" w:name="xdx_403_eus-gaap--OperatingLeaseRightOfU"/>
            <w:bookmarkEnd w:id="95"/>
          </w:p>
        </w:tc>
      </w:tr>
      <w:tr>
        <w:trPr/>
        <w:tc>
          <w:tcPr>
            <w:tcW w:w="6982"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4,722,366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1,279,330</w:t>
            </w:r>
          </w:p>
        </w:tc>
        <w:tc>
          <w:tcPr>
            <w:tcW w:w="112" w:type="dxa"/>
            <w:tcBorders/>
            <w:shd w:fill="FFFFFF" w:val="clear"/>
            <w:vAlign w:val="center"/>
          </w:tcPr>
          <w:p>
            <w:pPr>
              <w:pStyle w:val="TableContents"/>
              <w:bidi w:val="0"/>
              <w:spacing w:before="0" w:after="283"/>
              <w:jc w:val="left"/>
              <w:rPr/>
            </w:pPr>
            <w:r>
              <w:rPr/>
              <w:t> </w:t>
            </w:r>
            <w:bookmarkStart w:id="96" w:name="xdx_401_eus-gaap--Assets_i01TI_mtAz6NZ_z"/>
            <w:bookmarkEnd w:id="96"/>
          </w:p>
        </w:tc>
      </w:tr>
      <w:tr>
        <w:trPr/>
        <w:tc>
          <w:tcPr>
            <w:tcW w:w="6982"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59,307,138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62,193,364</w:t>
            </w:r>
          </w:p>
        </w:tc>
        <w:tc>
          <w:tcPr>
            <w:tcW w:w="112" w:type="dxa"/>
            <w:tcBorders/>
            <w:shd w:fill="CCEEFF" w:val="clear"/>
            <w:vAlign w:val="center"/>
          </w:tcPr>
          <w:p>
            <w:pPr>
              <w:pStyle w:val="TableContents"/>
              <w:bidi w:val="0"/>
              <w:spacing w:before="0" w:after="283"/>
              <w:jc w:val="left"/>
              <w:rPr/>
            </w:pPr>
            <w:r>
              <w:rPr/>
              <w:t> </w:t>
            </w:r>
          </w:p>
        </w:tc>
      </w:tr>
      <w:tr>
        <w:trPr/>
        <w:tc>
          <w:tcPr>
            <w:tcW w:w="6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7" w:name="xdx_407_eus-gaap--LiabilitiesAndStockhol"/>
            <w:bookmarkEnd w:id="97"/>
          </w:p>
        </w:tc>
      </w:tr>
      <w:tr>
        <w:trPr/>
        <w:tc>
          <w:tcPr>
            <w:tcW w:w="6982" w:type="dxa"/>
            <w:tcBorders/>
            <w:shd w:fill="CCEEFF" w:val="clear"/>
            <w:vAlign w:val="center"/>
          </w:tcPr>
          <w:p>
            <w:pPr>
              <w:pStyle w:val="TableContents"/>
              <w:bidi w:val="0"/>
              <w:spacing w:before="0" w:after="283"/>
              <w:jc w:val="left"/>
              <w:rPr>
                <w:b/>
              </w:rPr>
            </w:pPr>
            <w:r>
              <w:rPr>
                <w:b/>
              </w:rPr>
              <w:t>LIABILITIES, NONCONTROLLING INTERESTS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8" w:name="xdx_407_eus-gaap--LiabilitiesCurrentAbst"/>
            <w:bookmarkEnd w:id="98"/>
          </w:p>
        </w:tc>
      </w:tr>
      <w:tr>
        <w:trPr/>
        <w:tc>
          <w:tcPr>
            <w:tcW w:w="698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9" w:name="xdx_40A_eus-gaap--AccountsPayableCurrent"/>
            <w:bookmarkEnd w:id="99"/>
          </w:p>
        </w:tc>
      </w:tr>
      <w:tr>
        <w:trPr/>
        <w:tc>
          <w:tcPr>
            <w:tcW w:w="698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5,506,332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4,656,367</w:t>
            </w:r>
          </w:p>
        </w:tc>
        <w:tc>
          <w:tcPr>
            <w:tcW w:w="112" w:type="dxa"/>
            <w:tcBorders/>
            <w:shd w:fill="FFFFFF" w:val="clear"/>
            <w:vAlign w:val="center"/>
          </w:tcPr>
          <w:p>
            <w:pPr>
              <w:pStyle w:val="TableContents"/>
              <w:bidi w:val="0"/>
              <w:spacing w:before="0" w:after="283"/>
              <w:jc w:val="left"/>
              <w:rPr/>
            </w:pPr>
            <w:r>
              <w:rPr/>
              <w:t> </w:t>
            </w:r>
            <w:bookmarkStart w:id="100" w:name="xdx_40C_eus-gaap--AccountsPayableCurrent"/>
            <w:bookmarkEnd w:id="100"/>
          </w:p>
        </w:tc>
      </w:tr>
      <w:tr>
        <w:trPr/>
        <w:tc>
          <w:tcPr>
            <w:tcW w:w="6982"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20,067,013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15,383,171</w:t>
            </w:r>
          </w:p>
        </w:tc>
        <w:tc>
          <w:tcPr>
            <w:tcW w:w="112" w:type="dxa"/>
            <w:tcBorders/>
            <w:shd w:fill="CCEEFF" w:val="clear"/>
            <w:vAlign w:val="center"/>
          </w:tcPr>
          <w:p>
            <w:pPr>
              <w:pStyle w:val="TableContents"/>
              <w:bidi w:val="0"/>
              <w:spacing w:before="0" w:after="283"/>
              <w:jc w:val="left"/>
              <w:rPr/>
            </w:pPr>
            <w:r>
              <w:rPr/>
              <w:t> </w:t>
            </w:r>
            <w:bookmarkStart w:id="101" w:name="xdx_409_eus-gaap--AccountsPayableCurrent"/>
            <w:bookmarkEnd w:id="101"/>
          </w:p>
        </w:tc>
      </w:tr>
      <w:tr>
        <w:trPr/>
        <w:tc>
          <w:tcPr>
            <w:tcW w:w="698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20,067,013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15,383,171</w:t>
            </w:r>
          </w:p>
        </w:tc>
        <w:tc>
          <w:tcPr>
            <w:tcW w:w="112" w:type="dxa"/>
            <w:tcBorders/>
            <w:shd w:fill="FFFFFF" w:val="clear"/>
            <w:vAlign w:val="center"/>
          </w:tcPr>
          <w:p>
            <w:pPr>
              <w:pStyle w:val="TableContents"/>
              <w:bidi w:val="0"/>
              <w:spacing w:before="0" w:after="283"/>
              <w:jc w:val="left"/>
              <w:rPr/>
            </w:pPr>
            <w:r>
              <w:rPr/>
              <w:t> </w:t>
            </w:r>
            <w:bookmarkStart w:id="102" w:name="xdx_405_ecustom--AccruedExpensesAndOther"/>
            <w:bookmarkEnd w:id="102"/>
          </w:p>
        </w:tc>
      </w:tr>
      <w:tr>
        <w:trPr/>
        <w:tc>
          <w:tcPr>
            <w:tcW w:w="6982"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3,364,150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4,499,280</w:t>
            </w:r>
          </w:p>
        </w:tc>
        <w:tc>
          <w:tcPr>
            <w:tcW w:w="112" w:type="dxa"/>
            <w:tcBorders/>
            <w:shd w:fill="FFFFFF" w:val="clear"/>
            <w:vAlign w:val="center"/>
          </w:tcPr>
          <w:p>
            <w:pPr>
              <w:pStyle w:val="TableContents"/>
              <w:bidi w:val="0"/>
              <w:spacing w:before="0" w:after="283"/>
              <w:jc w:val="left"/>
              <w:rPr/>
            </w:pPr>
            <w:r>
              <w:rPr/>
              <w:t> </w:t>
            </w:r>
            <w:bookmarkStart w:id="103" w:name="xdx_401_ecustom--InterestPayableRelatedP"/>
            <w:bookmarkEnd w:id="103"/>
          </w:p>
        </w:tc>
      </w:tr>
      <w:tr>
        <w:trPr/>
        <w:tc>
          <w:tcPr>
            <w:tcW w:w="6982" w:type="dxa"/>
            <w:tcBorders/>
            <w:shd w:fill="CCEEFF" w:val="clear"/>
            <w:vAlign w:val="center"/>
          </w:tcPr>
          <w:p>
            <w:pPr>
              <w:pStyle w:val="TableContents"/>
              <w:bidi w:val="0"/>
              <w:spacing w:before="0" w:after="283"/>
              <w:jc w:val="left"/>
              <w:rPr/>
            </w:pPr>
            <w:r>
              <w:rPr/>
              <w:t>Interest payable – related parties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527,770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527,770</w:t>
            </w:r>
          </w:p>
        </w:tc>
        <w:tc>
          <w:tcPr>
            <w:tcW w:w="112" w:type="dxa"/>
            <w:tcBorders/>
            <w:shd w:fill="CCEEFF" w:val="clear"/>
            <w:vAlign w:val="center"/>
          </w:tcPr>
          <w:p>
            <w:pPr>
              <w:pStyle w:val="TableContents"/>
              <w:bidi w:val="0"/>
              <w:spacing w:before="0" w:after="283"/>
              <w:jc w:val="left"/>
              <w:rPr/>
            </w:pPr>
            <w:r>
              <w:rPr/>
              <w:t> </w:t>
            </w:r>
            <w:bookmarkStart w:id="104" w:name="xdx_40A_ecustom--RevolvingLoanPayableCur"/>
            <w:bookmarkEnd w:id="104"/>
          </w:p>
        </w:tc>
      </w:tr>
      <w:tr>
        <w:trPr/>
        <w:tc>
          <w:tcPr>
            <w:tcW w:w="6982"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3,000,000</w:t>
            </w:r>
          </w:p>
        </w:tc>
        <w:tc>
          <w:tcPr>
            <w:tcW w:w="112" w:type="dxa"/>
            <w:tcBorders/>
            <w:shd w:fill="FFFFFF" w:val="clear"/>
            <w:vAlign w:val="center"/>
          </w:tcPr>
          <w:p>
            <w:pPr>
              <w:pStyle w:val="TableContents"/>
              <w:bidi w:val="0"/>
              <w:spacing w:before="0" w:after="283"/>
              <w:jc w:val="left"/>
              <w:rPr/>
            </w:pPr>
            <w:r>
              <w:rPr/>
              <w:t> </w:t>
            </w:r>
            <w:bookmarkStart w:id="105" w:name="xdx_400_eus-gaap--ConvertibleDebtCurrent"/>
            <w:bookmarkEnd w:id="105"/>
          </w:p>
        </w:tc>
      </w:tr>
      <w:tr>
        <w:trPr/>
        <w:tc>
          <w:tcPr>
            <w:tcW w:w="6982" w:type="dxa"/>
            <w:tcBorders/>
            <w:shd w:fill="CCEEFF" w:val="clear"/>
            <w:vAlign w:val="center"/>
          </w:tcPr>
          <w:p>
            <w:pPr>
              <w:pStyle w:val="TableContents"/>
              <w:bidi w:val="0"/>
              <w:spacing w:before="0" w:after="283"/>
              <w:jc w:val="left"/>
              <w:rPr/>
            </w:pPr>
            <w:r>
              <w:rPr/>
              <w:t>Convertible notes at fair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3,842,189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6" w:name="xdx_40E_ecustom--LongTermDebtCurrentPort"/>
            <w:bookmarkEnd w:id="106"/>
          </w:p>
        </w:tc>
      </w:tr>
      <w:tr>
        <w:trPr/>
        <w:tc>
          <w:tcPr>
            <w:tcW w:w="6982"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1,305,880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2,722,548</w:t>
            </w:r>
          </w:p>
        </w:tc>
        <w:tc>
          <w:tcPr>
            <w:tcW w:w="112" w:type="dxa"/>
            <w:tcBorders/>
            <w:shd w:fill="FFFFFF" w:val="clear"/>
            <w:vAlign w:val="center"/>
          </w:tcPr>
          <w:p>
            <w:pPr>
              <w:pStyle w:val="TableContents"/>
              <w:bidi w:val="0"/>
              <w:spacing w:before="0" w:after="283"/>
              <w:jc w:val="left"/>
              <w:rPr/>
            </w:pPr>
            <w:r>
              <w:rPr/>
              <w:t> </w:t>
            </w:r>
            <w:bookmarkStart w:id="107" w:name="xdx_40D_eus-gaap--ContractWithCustomerLi"/>
            <w:bookmarkEnd w:id="107"/>
          </w:p>
        </w:tc>
      </w:tr>
      <w:tr>
        <w:trPr/>
        <w:tc>
          <w:tcPr>
            <w:tcW w:w="6982" w:type="dxa"/>
            <w:tcBorders/>
            <w:shd w:fill="CCEEFF" w:val="clear"/>
            <w:vAlign w:val="center"/>
          </w:tcPr>
          <w:p>
            <w:pPr>
              <w:pStyle w:val="TableContents"/>
              <w:bidi w:val="0"/>
              <w:spacing w:before="0" w:after="283"/>
              <w:jc w:val="left"/>
              <w:rPr/>
            </w:pPr>
            <w:r>
              <w:rPr/>
              <w:t>Current portion of deferred 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14,799,840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3,947,559</w:t>
            </w:r>
          </w:p>
        </w:tc>
        <w:tc>
          <w:tcPr>
            <w:tcW w:w="112" w:type="dxa"/>
            <w:tcBorders/>
            <w:shd w:fill="CCEEFF" w:val="clear"/>
            <w:vAlign w:val="center"/>
          </w:tcPr>
          <w:p>
            <w:pPr>
              <w:pStyle w:val="TableContents"/>
              <w:bidi w:val="0"/>
              <w:spacing w:before="0" w:after="283"/>
              <w:jc w:val="left"/>
              <w:rPr/>
            </w:pPr>
            <w:r>
              <w:rPr/>
              <w:t> </w:t>
            </w:r>
            <w:bookmarkStart w:id="108" w:name="xdx_40C_eus-gaap--OperatingLeaseLiabilit"/>
            <w:bookmarkEnd w:id="108"/>
          </w:p>
        </w:tc>
      </w:tr>
      <w:tr>
        <w:trPr/>
        <w:tc>
          <w:tcPr>
            <w:tcW w:w="6982"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393,448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1,444,385</w:t>
            </w:r>
          </w:p>
        </w:tc>
        <w:tc>
          <w:tcPr>
            <w:tcW w:w="112" w:type="dxa"/>
            <w:tcBorders/>
            <w:shd w:fill="FFFFFF" w:val="clear"/>
            <w:vAlign w:val="center"/>
          </w:tcPr>
          <w:p>
            <w:pPr>
              <w:pStyle w:val="TableContents"/>
              <w:bidi w:val="0"/>
              <w:spacing w:before="0" w:after="283"/>
              <w:jc w:val="left"/>
              <w:rPr/>
            </w:pPr>
            <w:r>
              <w:rPr/>
              <w:t> </w:t>
            </w:r>
            <w:bookmarkStart w:id="109" w:name="xdx_40D_eus-gaap--LiabilitiesCurrent_i02"/>
            <w:bookmarkEnd w:id="109"/>
          </w:p>
        </w:tc>
      </w:tr>
      <w:tr>
        <w:trPr/>
        <w:tc>
          <w:tcPr>
            <w:tcW w:w="6982"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49,806,622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36,181,080</w:t>
            </w:r>
          </w:p>
        </w:tc>
        <w:tc>
          <w:tcPr>
            <w:tcW w:w="112" w:type="dxa"/>
            <w:tcBorders/>
            <w:shd w:fill="CCEEFF" w:val="clear"/>
            <w:vAlign w:val="center"/>
          </w:tcPr>
          <w:p>
            <w:pPr>
              <w:pStyle w:val="TableContents"/>
              <w:bidi w:val="0"/>
              <w:spacing w:before="0" w:after="283"/>
              <w:jc w:val="left"/>
              <w:rPr/>
            </w:pPr>
            <w:r>
              <w:rPr/>
              <w:t> </w:t>
            </w:r>
          </w:p>
        </w:tc>
      </w:tr>
      <w:tr>
        <w:trPr/>
        <w:tc>
          <w:tcPr>
            <w:tcW w:w="6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0" w:name="xdx_401_eus-gaap--AccountsPayableAndAccr"/>
            <w:bookmarkEnd w:id="110"/>
          </w:p>
        </w:tc>
      </w:tr>
      <w:tr>
        <w:trPr/>
        <w:tc>
          <w:tcPr>
            <w:tcW w:w="698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468,106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265,251</w:t>
            </w:r>
          </w:p>
        </w:tc>
        <w:tc>
          <w:tcPr>
            <w:tcW w:w="112" w:type="dxa"/>
            <w:tcBorders/>
            <w:shd w:fill="CCEEFF" w:val="clear"/>
            <w:vAlign w:val="center"/>
          </w:tcPr>
          <w:p>
            <w:pPr>
              <w:pStyle w:val="TableContents"/>
              <w:bidi w:val="0"/>
              <w:spacing w:before="0" w:after="283"/>
              <w:jc w:val="left"/>
              <w:rPr/>
            </w:pPr>
            <w:r>
              <w:rPr/>
              <w:t> </w:t>
            </w:r>
            <w:bookmarkStart w:id="111" w:name="xdx_405_ecustom--RevolvingLoanPayableNon"/>
            <w:bookmarkEnd w:id="111"/>
          </w:p>
        </w:tc>
      </w:tr>
      <w:tr>
        <w:trPr/>
        <w:tc>
          <w:tcPr>
            <w:tcW w:w="6982"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2" w:name="xdx_40A_eus-gaap--LongTermDebtNoncurrent"/>
            <w:bookmarkEnd w:id="112"/>
          </w:p>
        </w:tc>
      </w:tr>
      <w:tr>
        <w:trPr/>
        <w:tc>
          <w:tcPr>
            <w:tcW w:w="6982" w:type="dxa"/>
            <w:tcBorders/>
            <w:shd w:fill="CCEEFF" w:val="clear"/>
            <w:vAlign w:val="center"/>
          </w:tcPr>
          <w:p>
            <w:pPr>
              <w:pStyle w:val="TableContents"/>
              <w:bidi w:val="0"/>
              <w:spacing w:before="0" w:after="283"/>
              <w:jc w:val="left"/>
              <w:rPr/>
            </w:pPr>
            <w:r>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4,292,538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13" w:name="xdx_40A_eus-gaap--ContractWithCustomerLi"/>
            <w:bookmarkEnd w:id="113"/>
          </w:p>
        </w:tc>
      </w:tr>
      <w:tr>
        <w:trPr/>
        <w:tc>
          <w:tcPr>
            <w:tcW w:w="6982"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17,282,685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21,519,888</w:t>
            </w:r>
          </w:p>
        </w:tc>
        <w:tc>
          <w:tcPr>
            <w:tcW w:w="112" w:type="dxa"/>
            <w:tcBorders/>
            <w:shd w:fill="FFFFFF" w:val="clear"/>
            <w:vAlign w:val="center"/>
          </w:tcPr>
          <w:p>
            <w:pPr>
              <w:pStyle w:val="TableContents"/>
              <w:bidi w:val="0"/>
              <w:spacing w:before="0" w:after="283"/>
              <w:jc w:val="left"/>
              <w:rPr/>
            </w:pPr>
            <w:r>
              <w:rPr/>
              <w:t> </w:t>
            </w:r>
            <w:bookmarkStart w:id="114" w:name="xdx_406_eus-gaap--OperatingLeaseLiabilit"/>
            <w:bookmarkEnd w:id="114"/>
          </w:p>
        </w:tc>
      </w:tr>
      <w:tr>
        <w:trPr/>
        <w:tc>
          <w:tcPr>
            <w:tcW w:w="6982"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4,336,240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57,983</w:t>
            </w:r>
          </w:p>
        </w:tc>
        <w:tc>
          <w:tcPr>
            <w:tcW w:w="112" w:type="dxa"/>
            <w:tcBorders/>
            <w:shd w:fill="CCEEFF" w:val="clear"/>
            <w:vAlign w:val="center"/>
          </w:tcPr>
          <w:p>
            <w:pPr>
              <w:pStyle w:val="TableContents"/>
              <w:bidi w:val="0"/>
              <w:spacing w:before="0" w:after="283"/>
              <w:jc w:val="left"/>
              <w:rPr/>
            </w:pPr>
            <w:r>
              <w:rPr/>
              <w:t> </w:t>
            </w:r>
            <w:bookmarkStart w:id="115" w:name="xdx_403_eus-gaap--Liabilities_i01TI_mtLz"/>
            <w:bookmarkEnd w:id="115"/>
          </w:p>
        </w:tc>
      </w:tr>
      <w:tr>
        <w:trPr/>
        <w:tc>
          <w:tcPr>
            <w:tcW w:w="698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81,186,191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58,024,202</w:t>
            </w:r>
          </w:p>
        </w:tc>
        <w:tc>
          <w:tcPr>
            <w:tcW w:w="112" w:type="dxa"/>
            <w:tcBorders/>
            <w:shd w:fill="FFFFFF" w:val="clear"/>
            <w:vAlign w:val="center"/>
          </w:tcPr>
          <w:p>
            <w:pPr>
              <w:pStyle w:val="TableContents"/>
              <w:bidi w:val="0"/>
              <w:spacing w:before="0" w:after="283"/>
              <w:jc w:val="left"/>
              <w:rPr/>
            </w:pPr>
            <w:r>
              <w:rPr/>
              <w:t> </w:t>
            </w:r>
          </w:p>
        </w:tc>
      </w:tr>
      <w:tr>
        <w:trPr/>
        <w:tc>
          <w:tcPr>
            <w:tcW w:w="6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6" w:name="xdx_40A_eus-gaap--CommitmentsAndContinge"/>
            <w:bookmarkEnd w:id="116"/>
          </w:p>
        </w:tc>
      </w:tr>
      <w:tr>
        <w:trPr/>
        <w:tc>
          <w:tcPr>
            <w:tcW w:w="6982"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6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7" w:name="xdx_40A_eus-gaap--StockholdersEquityIncl"/>
            <w:bookmarkEnd w:id="117"/>
          </w:p>
        </w:tc>
      </w:tr>
      <w:tr>
        <w:trPr/>
        <w:tc>
          <w:tcPr>
            <w:tcW w:w="6982"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8" w:name="xdx_40C_eus-gaap--CommonStockValue_i02I_"/>
            <w:bookmarkEnd w:id="118"/>
          </w:p>
        </w:tc>
      </w:tr>
      <w:tr>
        <w:trPr/>
        <w:tc>
          <w:tcPr>
            <w:tcW w:w="6982" w:type="dxa"/>
            <w:tcBorders/>
            <w:shd w:fill="CCEEFF" w:val="clear"/>
            <w:vAlign w:val="center"/>
          </w:tcPr>
          <w:p>
            <w:pPr>
              <w:pStyle w:val="TableContents"/>
              <w:bidi w:val="0"/>
              <w:spacing w:before="0" w:after="283"/>
              <w:jc w:val="left"/>
              <w:rPr/>
            </w:pPr>
            <w:r>
              <w:rPr/>
              <w:t>Class A common stock, $</w:t>
            </w:r>
            <w:bookmarkStart w:id="119" w:name="xdx_904_eus-gaap--CommonStockParOrStated"/>
            <w:bookmarkStart w:id="120" w:name="xdx_90F_eus-gaap--CommonStockParOrStated"/>
            <w:bookmarkEnd w:id="119"/>
            <w:bookmarkEnd w:id="120"/>
            <w:r>
              <w:rPr/>
              <w:t xml:space="preserve">0.0001 par value, </w:t>
            </w:r>
            <w:bookmarkStart w:id="121" w:name="xdx_905_eus-gaap--CommonStockSharesAutho"/>
            <w:bookmarkStart w:id="122" w:name="xdx_90C_eus-gaap--CommonStockSharesAutho"/>
            <w:bookmarkEnd w:id="121"/>
            <w:bookmarkEnd w:id="122"/>
            <w:r>
              <w:rPr/>
              <w:t xml:space="preserve">500,000,000 shares authorized; </w:t>
            </w:r>
            <w:bookmarkStart w:id="123" w:name="xdx_906_eus-gaap--CommonStockSharesIssue"/>
            <w:bookmarkEnd w:id="123"/>
            <w:r>
              <w:rPr/>
              <w:t xml:space="preserve">10,382,336 shares issued and </w:t>
            </w:r>
            <w:bookmarkStart w:id="124" w:name="xdx_903_eus-gaap--CommonStockSharesOutst"/>
            <w:bookmarkEnd w:id="124"/>
            <w:r>
              <w:rPr/>
              <w:t xml:space="preserve">9,032,061 shares outstanding as of December 31, 2025, and </w:t>
            </w:r>
            <w:bookmarkStart w:id="125" w:name="xdx_904_eus-gaap--CommonStockSharesIssue"/>
            <w:bookmarkEnd w:id="125"/>
            <w:r>
              <w:rPr/>
              <w:t xml:space="preserve">9,626,070 shares issued and </w:t>
            </w:r>
            <w:bookmarkStart w:id="126" w:name="xdx_90D_eus-gaap--CommonStockSharesOutst"/>
            <w:bookmarkEnd w:id="126"/>
            <w:r>
              <w:rPr/>
              <w:t>8,275,795 shares outstanding as of December 31, 2024</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962</w:t>
            </w:r>
          </w:p>
        </w:tc>
        <w:tc>
          <w:tcPr>
            <w:tcW w:w="112" w:type="dxa"/>
            <w:tcBorders/>
            <w:shd w:fill="CCEEFF" w:val="clear"/>
            <w:vAlign w:val="center"/>
          </w:tcPr>
          <w:p>
            <w:pPr>
              <w:pStyle w:val="TableContents"/>
              <w:bidi w:val="0"/>
              <w:spacing w:before="0" w:after="283"/>
              <w:jc w:val="left"/>
              <w:rPr/>
            </w:pPr>
            <w:r>
              <w:rPr/>
              <w:t> </w:t>
            </w:r>
            <w:bookmarkStart w:id="127" w:name="xdx_40D_eus-gaap--CommonStockValue_i02I_"/>
            <w:bookmarkEnd w:id="127"/>
          </w:p>
        </w:tc>
      </w:tr>
      <w:tr>
        <w:trPr/>
        <w:tc>
          <w:tcPr>
            <w:tcW w:w="6982" w:type="dxa"/>
            <w:tcBorders/>
            <w:shd w:fill="FFFFFF" w:val="clear"/>
            <w:vAlign w:val="center"/>
          </w:tcPr>
          <w:p>
            <w:pPr>
              <w:pStyle w:val="TableContents"/>
              <w:bidi w:val="0"/>
              <w:spacing w:before="0" w:after="283"/>
              <w:jc w:val="left"/>
              <w:rPr/>
            </w:pPr>
            <w:r>
              <w:rPr/>
              <w:t>Class B common stock, $</w:t>
            </w:r>
            <w:bookmarkStart w:id="128" w:name="xdx_90D_eus-gaap--CommonStockParOrStated"/>
            <w:bookmarkStart w:id="129" w:name="xdx_903_eus-gaap--CommonStockParOrStated"/>
            <w:bookmarkEnd w:id="128"/>
            <w:bookmarkEnd w:id="129"/>
            <w:r>
              <w:rPr/>
              <w:t xml:space="preserve">0.0001 par value, </w:t>
            </w:r>
            <w:bookmarkStart w:id="130" w:name="xdx_905_eus-gaap--CommonStockSharesAutho"/>
            <w:bookmarkStart w:id="131" w:name="xdx_90C_eus-gaap--CommonStockSharesAutho"/>
            <w:bookmarkEnd w:id="130"/>
            <w:bookmarkEnd w:id="131"/>
            <w:r>
              <w:rPr/>
              <w:t xml:space="preserve">100,000,000 shares authorized; </w:t>
            </w:r>
            <w:bookmarkStart w:id="132" w:name="xdx_903_eus-gaap--CommonStockSharesOutst"/>
            <w:bookmarkStart w:id="133" w:name="xdx_909_eus-gaap--CommonStockSharesIssue"/>
            <w:bookmarkStart w:id="134" w:name="xdx_901_eus-gaap--CommonStockSharesOutst"/>
            <w:bookmarkStart w:id="135" w:name="xdx_90A_eus-gaap--CommonStockSharesIssue"/>
            <w:bookmarkEnd w:id="132"/>
            <w:bookmarkEnd w:id="133"/>
            <w:bookmarkEnd w:id="134"/>
            <w:bookmarkEnd w:id="135"/>
            <w:r>
              <w:rPr/>
              <w:t>28,748,580 shares issued and outstanding as of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2,875</w:t>
            </w:r>
          </w:p>
        </w:tc>
        <w:tc>
          <w:tcPr>
            <w:tcW w:w="112" w:type="dxa"/>
            <w:tcBorders/>
            <w:shd w:fill="FFFFFF" w:val="clear"/>
            <w:vAlign w:val="center"/>
          </w:tcPr>
          <w:p>
            <w:pPr>
              <w:pStyle w:val="TableContents"/>
              <w:bidi w:val="0"/>
              <w:spacing w:before="0" w:after="283"/>
              <w:jc w:val="left"/>
              <w:rPr/>
            </w:pPr>
            <w:r>
              <w:rPr/>
              <w:t> </w:t>
            </w:r>
            <w:bookmarkStart w:id="136" w:name="xdx_408_eus-gaap--CommonStockValue_i02I_"/>
            <w:bookmarkEnd w:id="136"/>
          </w:p>
        </w:tc>
      </w:tr>
      <w:tr>
        <w:trPr/>
        <w:tc>
          <w:tcPr>
            <w:tcW w:w="6982" w:type="dxa"/>
            <w:tcBorders/>
            <w:shd w:fill="CCEEFF" w:val="clear"/>
            <w:vAlign w:val="center"/>
          </w:tcPr>
          <w:p>
            <w:pPr>
              <w:pStyle w:val="TableContents"/>
              <w:bidi w:val="0"/>
              <w:spacing w:before="0" w:after="283"/>
              <w:jc w:val="left"/>
              <w:rPr/>
            </w:pPr>
            <w:r>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2,875</w:t>
            </w:r>
          </w:p>
        </w:tc>
        <w:tc>
          <w:tcPr>
            <w:tcW w:w="112" w:type="dxa"/>
            <w:tcBorders/>
            <w:shd w:fill="CCEEFF" w:val="clear"/>
            <w:vAlign w:val="center"/>
          </w:tcPr>
          <w:p>
            <w:pPr>
              <w:pStyle w:val="TableContents"/>
              <w:bidi w:val="0"/>
              <w:spacing w:before="0" w:after="283"/>
              <w:jc w:val="left"/>
              <w:rPr/>
            </w:pPr>
            <w:r>
              <w:rPr/>
              <w:t> </w:t>
            </w:r>
          </w:p>
        </w:tc>
      </w:tr>
      <w:tr>
        <w:trPr/>
        <w:tc>
          <w:tcPr>
            <w:tcW w:w="6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37" w:name="xdx_402_eus-gaap--AdditionalPaidInCapita"/>
            <w:bookmarkEnd w:id="137"/>
          </w:p>
        </w:tc>
      </w:tr>
      <w:tr>
        <w:trPr/>
        <w:tc>
          <w:tcPr>
            <w:tcW w:w="69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26,923,115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25,738,082</w:t>
            </w:r>
          </w:p>
        </w:tc>
        <w:tc>
          <w:tcPr>
            <w:tcW w:w="112" w:type="dxa"/>
            <w:tcBorders/>
            <w:shd w:fill="FFFFFF" w:val="clear"/>
            <w:vAlign w:val="center"/>
          </w:tcPr>
          <w:p>
            <w:pPr>
              <w:pStyle w:val="TableContents"/>
              <w:bidi w:val="0"/>
              <w:spacing w:before="0" w:after="283"/>
              <w:jc w:val="left"/>
              <w:rPr/>
            </w:pPr>
            <w:r>
              <w:rPr/>
              <w:t> </w:t>
            </w:r>
            <w:bookmarkStart w:id="138" w:name="xdx_409_eus-gaap--AccumulatedOtherCompre"/>
            <w:bookmarkEnd w:id="138"/>
          </w:p>
        </w:tc>
      </w:tr>
      <w:tr>
        <w:trPr/>
        <w:tc>
          <w:tcPr>
            <w:tcW w:w="698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(275,049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(279,457</w:t>
            </w:r>
          </w:p>
        </w:tc>
        <w:tc>
          <w:tcPr>
            <w:tcW w:w="112" w:type="dxa"/>
            <w:tcBorders/>
            <w:shd w:fill="CCEEFF" w:val="clear"/>
            <w:vAlign w:val="center"/>
          </w:tcPr>
          <w:p>
            <w:pPr>
              <w:pStyle w:val="TableContents"/>
              <w:bidi w:val="0"/>
              <w:spacing w:before="0" w:after="283"/>
              <w:jc w:val="left"/>
              <w:rPr/>
            </w:pPr>
            <w:r>
              <w:rPr/>
              <w:t>)</w:t>
            </w:r>
            <w:bookmarkStart w:id="139" w:name="xdx_406_eus-gaap--RetainedEarningsAccumu"/>
            <w:bookmarkEnd w:id="139"/>
          </w:p>
        </w:tc>
      </w:tr>
      <w:tr>
        <w:trPr/>
        <w:tc>
          <w:tcPr>
            <w:tcW w:w="698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(39,352,510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(12,117,385</w:t>
            </w:r>
          </w:p>
        </w:tc>
        <w:tc>
          <w:tcPr>
            <w:tcW w:w="112" w:type="dxa"/>
            <w:tcBorders/>
            <w:shd w:fill="FFFFFF" w:val="clear"/>
            <w:vAlign w:val="center"/>
          </w:tcPr>
          <w:p>
            <w:pPr>
              <w:pStyle w:val="TableContents"/>
              <w:bidi w:val="0"/>
              <w:spacing w:before="0" w:after="283"/>
              <w:jc w:val="left"/>
              <w:rPr/>
            </w:pPr>
            <w:r>
              <w:rPr/>
              <w:t>)</w:t>
            </w:r>
            <w:bookmarkStart w:id="140" w:name="xdx_404_eus-gaap--TreasuryStockCommonVal"/>
            <w:bookmarkEnd w:id="140"/>
          </w:p>
        </w:tc>
      </w:tr>
      <w:tr>
        <w:trPr/>
        <w:tc>
          <w:tcPr>
            <w:tcW w:w="6982" w:type="dxa"/>
            <w:tcBorders/>
            <w:shd w:fill="CCEEFF" w:val="clear"/>
            <w:vAlign w:val="center"/>
          </w:tcPr>
          <w:p>
            <w:pPr>
              <w:pStyle w:val="TableContents"/>
              <w:bidi w:val="0"/>
              <w:spacing w:before="0" w:after="283"/>
              <w:jc w:val="left"/>
              <w:rPr/>
            </w:pPr>
            <w:r>
              <w:rPr/>
              <w:t>Treasury stock at cost (</w:t>
            </w:r>
            <w:bookmarkStart w:id="141" w:name="xdx_90C_eus-gaap--TreasuryStockCommonSha"/>
            <w:bookmarkStart w:id="142" w:name="xdx_906_eus-gaap--TreasuryStockCommonSha"/>
            <w:bookmarkEnd w:id="141"/>
            <w:bookmarkEnd w:id="142"/>
            <w:r>
              <w:rPr/>
              <w:t>1,350,275 shares as of December 31, 2025 and 2024)</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(3,671,806</w:t>
            </w:r>
          </w:p>
        </w:tc>
        <w:tc>
          <w:tcPr>
            <w:tcW w:w="112" w:type="dxa"/>
            <w:tcBorders/>
            <w:shd w:fill="CCEEFF" w:val="clear"/>
            <w:vAlign w:val="center"/>
          </w:tcPr>
          <w:p>
            <w:pPr>
              <w:pStyle w:val="TableContents"/>
              <w:bidi w:val="0"/>
              <w:spacing w:before="0" w:after="283"/>
              <w:jc w:val="left"/>
              <w:rPr/>
            </w:pPr>
            <w:r>
              <w:rPr/>
              <w:t>)</w:t>
            </w:r>
            <w:bookmarkStart w:id="143" w:name="xdx_40D_eus-gaap--StockholdersEquity_i02"/>
            <w:bookmarkEnd w:id="143"/>
          </w:p>
        </w:tc>
      </w:tr>
      <w:tr>
        <w:trPr/>
        <w:tc>
          <w:tcPr>
            <w:tcW w:w="6982" w:type="dxa"/>
            <w:tcBorders/>
            <w:shd w:fill="FFFFFF" w:val="clear"/>
            <w:vAlign w:val="center"/>
          </w:tcPr>
          <w:p>
            <w:pPr>
              <w:pStyle w:val="TableContents"/>
              <w:bidi w:val="0"/>
              <w:spacing w:before="0" w:after="283"/>
              <w:jc w:val="left"/>
              <w:rPr/>
            </w:pPr>
            <w:r>
              <w:rPr/>
              <w:t>Total Snail, Inc.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(16,372,337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9,673,271</w:t>
            </w:r>
          </w:p>
        </w:tc>
        <w:tc>
          <w:tcPr>
            <w:tcW w:w="112" w:type="dxa"/>
            <w:tcBorders/>
            <w:shd w:fill="FFFFFF" w:val="clear"/>
            <w:vAlign w:val="center"/>
          </w:tcPr>
          <w:p>
            <w:pPr>
              <w:pStyle w:val="TableContents"/>
              <w:bidi w:val="0"/>
              <w:spacing w:before="0" w:after="283"/>
              <w:jc w:val="left"/>
              <w:rPr/>
            </w:pPr>
            <w:r>
              <w:rPr/>
              <w:t> </w:t>
            </w:r>
            <w:bookmarkStart w:id="144" w:name="xdx_40B_eus-gaap--MinorityInterest_i02I_"/>
            <w:bookmarkEnd w:id="144"/>
          </w:p>
        </w:tc>
      </w:tr>
      <w:tr>
        <w:trPr/>
        <w:tc>
          <w:tcPr>
            <w:tcW w:w="698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(5,506,716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(5,504,109</w:t>
            </w:r>
          </w:p>
        </w:tc>
        <w:tc>
          <w:tcPr>
            <w:tcW w:w="112" w:type="dxa"/>
            <w:tcBorders/>
            <w:shd w:fill="CCEEFF" w:val="clear"/>
            <w:vAlign w:val="center"/>
          </w:tcPr>
          <w:p>
            <w:pPr>
              <w:pStyle w:val="TableContents"/>
              <w:bidi w:val="0"/>
              <w:spacing w:before="0" w:after="283"/>
              <w:jc w:val="left"/>
              <w:rPr/>
            </w:pPr>
            <w:r>
              <w:rPr/>
              <w:t>)</w:t>
            </w:r>
            <w:bookmarkStart w:id="145" w:name="xdx_408_eus-gaap--StockholdersEquityIncl"/>
            <w:bookmarkEnd w:id="145"/>
          </w:p>
        </w:tc>
      </w:tr>
      <w:tr>
        <w:trPr/>
        <w:tc>
          <w:tcPr>
            <w:tcW w:w="6982"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(21,879,053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4,169,162</w:t>
            </w:r>
          </w:p>
        </w:tc>
        <w:tc>
          <w:tcPr>
            <w:tcW w:w="112" w:type="dxa"/>
            <w:tcBorders/>
            <w:shd w:fill="FFFFFF" w:val="clear"/>
            <w:vAlign w:val="center"/>
          </w:tcPr>
          <w:p>
            <w:pPr>
              <w:pStyle w:val="TableContents"/>
              <w:bidi w:val="0"/>
              <w:spacing w:before="0" w:after="283"/>
              <w:jc w:val="left"/>
              <w:rPr/>
            </w:pPr>
            <w:r>
              <w:rPr/>
              <w:t> </w:t>
            </w:r>
            <w:bookmarkStart w:id="146" w:name="xdx_409_eus-gaap--LiabilitiesAndStockhol"/>
            <w:bookmarkEnd w:id="146"/>
          </w:p>
        </w:tc>
      </w:tr>
      <w:tr>
        <w:trPr/>
        <w:tc>
          <w:tcPr>
            <w:tcW w:w="6982" w:type="dxa"/>
            <w:tcBorders/>
            <w:shd w:fill="CCEEFF" w:val="clear"/>
            <w:vAlign w:val="center"/>
          </w:tcPr>
          <w:p>
            <w:pPr>
              <w:pStyle w:val="TableContents"/>
              <w:bidi w:val="0"/>
              <w:spacing w:before="0" w:after="283"/>
              <w:jc w:val="left"/>
              <w:rPr/>
            </w:pPr>
            <w:r>
              <w:rPr/>
              <w:t>Total liabilities, noncontrolling interests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59,307,138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62,193,364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7" w:name="an_003"/>
      <w:bookmarkEnd w:id="147"/>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(Loss) 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8" w:name="xdx_300_113_zGYtnJnmX7Ta"/>
      <w:bookmarkStart w:id="149" w:name="xdx_300_113_zGYtnJnmX7Ta"/>
      <w:bookmarkEnd w:id="149"/>
    </w:p>
    <w:tbl>
      <w:tblPr>
        <w:tblW w:w="10205" w:type="dxa"/>
        <w:jc w:val="left"/>
        <w:tblInd w:w="0" w:type="dxa"/>
        <w:tblLayout w:type="fixed"/>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150" w:name="xdx_492_20250101__20251231_zguG62o60UNf"/>
            <w:bookmarkEnd w:id="15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1" w:name="xdx_49C_20240101__20241231_zoPVOxkKHrRb"/>
            <w:bookmarkEnd w:id="15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52" w:name="xdx_409_eus-gaap--RevenueFromContractWit"/>
            <w:bookmarkEnd w:id="152"/>
          </w:p>
        </w:tc>
      </w:tr>
      <w:tr>
        <w:trPr/>
        <w:tc>
          <w:tcPr>
            <w:tcW w:w="732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81,225,622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84,467,047</w:t>
            </w:r>
          </w:p>
        </w:tc>
        <w:tc>
          <w:tcPr>
            <w:tcW w:w="110" w:type="dxa"/>
            <w:tcBorders/>
            <w:shd w:fill="CCEEFF" w:val="clear"/>
            <w:vAlign w:val="center"/>
          </w:tcPr>
          <w:p>
            <w:pPr>
              <w:pStyle w:val="TableContents"/>
              <w:bidi w:val="0"/>
              <w:spacing w:before="0" w:after="283"/>
              <w:jc w:val="left"/>
              <w:rPr/>
            </w:pPr>
            <w:r>
              <w:rPr/>
              <w:t> </w:t>
            </w:r>
            <w:bookmarkStart w:id="153" w:name="xdx_401_eus-gaap--CostOfGoodsAndServices"/>
            <w:bookmarkEnd w:id="153"/>
          </w:p>
        </w:tc>
      </w:tr>
      <w:tr>
        <w:trPr/>
        <w:tc>
          <w:tcPr>
            <w:tcW w:w="732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58,794,947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54,236,342</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4" w:name="xdx_40E_eus-gaap--GrossProfit_iT_mtGPzTO"/>
            <w:bookmarkEnd w:id="154"/>
          </w:p>
        </w:tc>
      </w:tr>
      <w:tr>
        <w:trPr/>
        <w:tc>
          <w:tcPr>
            <w:tcW w:w="732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22,430,675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30,230,705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7_eus-gaap--OperatingExpensesAbstr"/>
            <w:bookmarkEnd w:id="155"/>
          </w:p>
        </w:tc>
      </w:tr>
      <w:tr>
        <w:trPr/>
        <w:tc>
          <w:tcPr>
            <w:tcW w:w="73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C_eus-gaap--GeneralAndAdministrati"/>
            <w:bookmarkEnd w:id="156"/>
          </w:p>
        </w:tc>
      </w:tr>
      <w:tr>
        <w:trPr/>
        <w:tc>
          <w:tcPr>
            <w:tcW w:w="73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18,092,206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12,867,210</w:t>
            </w:r>
          </w:p>
        </w:tc>
        <w:tc>
          <w:tcPr>
            <w:tcW w:w="110" w:type="dxa"/>
            <w:tcBorders/>
            <w:shd w:fill="CCEEFF" w:val="clear"/>
            <w:vAlign w:val="center"/>
          </w:tcPr>
          <w:p>
            <w:pPr>
              <w:pStyle w:val="TableContents"/>
              <w:bidi w:val="0"/>
              <w:spacing w:before="0" w:after="283"/>
              <w:jc w:val="left"/>
              <w:rPr/>
            </w:pPr>
            <w:r>
              <w:rPr/>
              <w:t> </w:t>
            </w:r>
            <w:bookmarkStart w:id="157" w:name="xdx_405_eus-gaap--ResearchAndDevelopment"/>
            <w:bookmarkEnd w:id="157"/>
          </w:p>
        </w:tc>
      </w:tr>
      <w:tr>
        <w:trPr/>
        <w:tc>
          <w:tcPr>
            <w:tcW w:w="73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14,580,668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11,647,293</w:t>
            </w:r>
          </w:p>
        </w:tc>
        <w:tc>
          <w:tcPr>
            <w:tcW w:w="110" w:type="dxa"/>
            <w:tcBorders/>
            <w:shd w:fill="FFFFFF" w:val="clear"/>
            <w:vAlign w:val="center"/>
          </w:tcPr>
          <w:p>
            <w:pPr>
              <w:pStyle w:val="TableContents"/>
              <w:bidi w:val="0"/>
              <w:spacing w:before="0" w:after="283"/>
              <w:jc w:val="left"/>
              <w:rPr/>
            </w:pPr>
            <w:r>
              <w:rPr/>
              <w:t> </w:t>
            </w:r>
            <w:bookmarkStart w:id="158" w:name="xdx_40E_eus-gaap--MarketingAndAdvertisin"/>
            <w:bookmarkEnd w:id="158"/>
          </w:p>
        </w:tc>
      </w:tr>
      <w:tr>
        <w:trPr/>
        <w:tc>
          <w:tcPr>
            <w:tcW w:w="732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5,236,951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1,523,398</w:t>
            </w:r>
          </w:p>
        </w:tc>
        <w:tc>
          <w:tcPr>
            <w:tcW w:w="110" w:type="dxa"/>
            <w:tcBorders/>
            <w:shd w:fill="CCEEFF" w:val="clear"/>
            <w:vAlign w:val="center"/>
          </w:tcPr>
          <w:p>
            <w:pPr>
              <w:pStyle w:val="TableContents"/>
              <w:bidi w:val="0"/>
              <w:spacing w:before="0" w:after="283"/>
              <w:jc w:val="left"/>
              <w:rPr/>
            </w:pPr>
            <w:r>
              <w:rPr/>
              <w:t> </w:t>
            </w:r>
            <w:bookmarkStart w:id="159" w:name="xdx_406_eus-gaap--Depreciation_i01_maOEz"/>
            <w:bookmarkEnd w:id="159"/>
          </w:p>
        </w:tc>
      </w:tr>
      <w:tr>
        <w:trPr/>
        <w:tc>
          <w:tcPr>
            <w:tcW w:w="732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247,976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303,714</w:t>
            </w:r>
          </w:p>
        </w:tc>
        <w:tc>
          <w:tcPr>
            <w:tcW w:w="110" w:type="dxa"/>
            <w:tcBorders/>
            <w:shd w:fill="FFFFFF" w:val="clear"/>
            <w:vAlign w:val="center"/>
          </w:tcPr>
          <w:p>
            <w:pPr>
              <w:pStyle w:val="TableContents"/>
              <w:bidi w:val="0"/>
              <w:spacing w:before="0" w:after="283"/>
              <w:jc w:val="left"/>
              <w:rPr/>
            </w:pPr>
            <w:r>
              <w:rPr/>
              <w:t> </w:t>
            </w:r>
            <w:bookmarkStart w:id="160" w:name="xdx_404_eus-gaap--AssetImpairmentCharges"/>
            <w:bookmarkEnd w:id="160"/>
          </w:p>
        </w:tc>
      </w:tr>
      <w:tr>
        <w:trPr/>
        <w:tc>
          <w:tcPr>
            <w:tcW w:w="7325" w:type="dxa"/>
            <w:tcBorders/>
            <w:shd w:fill="CCEEFF" w:val="clear"/>
            <w:vAlign w:val="center"/>
          </w:tcPr>
          <w:p>
            <w:pPr>
              <w:pStyle w:val="TableContents"/>
              <w:bidi w:val="0"/>
              <w:spacing w:before="0" w:after="283"/>
              <w:jc w:val="left"/>
              <w:rPr/>
            </w:pPr>
            <w:r>
              <w:rPr/>
              <w:t>Impairment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1,536,182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1" w:name="xdx_401_eus-gaap--OperatingExpenses_i01T"/>
            <w:bookmarkEnd w:id="161"/>
          </w:p>
        </w:tc>
      </w:tr>
      <w:tr>
        <w:trPr/>
        <w:tc>
          <w:tcPr>
            <w:tcW w:w="73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39,693,983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26,341,615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E_eus-gaap--OperatingIncomeLoss_iT"/>
            <w:bookmarkEnd w:id="162"/>
          </w:p>
        </w:tc>
      </w:tr>
      <w:tr>
        <w:trPr/>
        <w:tc>
          <w:tcPr>
            <w:tcW w:w="732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(17,263,308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3,889,090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3" w:name="xdx_404_eus-gaap--NonoperatingIncomeExpe"/>
            <w:bookmarkEnd w:id="163"/>
          </w:p>
        </w:tc>
      </w:tr>
      <w:tr>
        <w:trPr/>
        <w:tc>
          <w:tcPr>
            <w:tcW w:w="732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4" w:name="xdx_40C_eus-gaap--InterestIncomeOther_i0"/>
            <w:bookmarkEnd w:id="164"/>
          </w:p>
        </w:tc>
      </w:tr>
      <w:tr>
        <w:trPr/>
        <w:tc>
          <w:tcPr>
            <w:tcW w:w="732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1,348,013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260,679</w:t>
            </w:r>
          </w:p>
        </w:tc>
        <w:tc>
          <w:tcPr>
            <w:tcW w:w="110" w:type="dxa"/>
            <w:tcBorders/>
            <w:shd w:fill="CCEEFF" w:val="clear"/>
            <w:vAlign w:val="center"/>
          </w:tcPr>
          <w:p>
            <w:pPr>
              <w:pStyle w:val="TableContents"/>
              <w:bidi w:val="0"/>
              <w:spacing w:before="0" w:after="283"/>
              <w:jc w:val="left"/>
              <w:rPr/>
            </w:pPr>
            <w:r>
              <w:rPr/>
              <w:t> </w:t>
            </w:r>
            <w:bookmarkStart w:id="165" w:name="xdx_404_eus-gaap--InterestIncomeOther_i0"/>
            <w:bookmarkEnd w:id="165"/>
          </w:p>
        </w:tc>
      </w:tr>
      <w:tr>
        <w:trPr/>
        <w:tc>
          <w:tcPr>
            <w:tcW w:w="7325" w:type="dxa"/>
            <w:tcBorders/>
            <w:shd w:fill="FFFFFF" w:val="clear"/>
            <w:vAlign w:val="center"/>
          </w:tcPr>
          <w:p>
            <w:pPr>
              <w:pStyle w:val="TableContents"/>
              <w:bidi w:val="0"/>
              <w:spacing w:before="0" w:after="283"/>
              <w:jc w:val="left"/>
              <w:rPr/>
            </w:pPr>
            <w:r>
              <w:rPr/>
              <w:t>Interest income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2,005</w:t>
            </w:r>
          </w:p>
        </w:tc>
        <w:tc>
          <w:tcPr>
            <w:tcW w:w="110" w:type="dxa"/>
            <w:tcBorders/>
            <w:shd w:fill="FFFFFF" w:val="clear"/>
            <w:vAlign w:val="center"/>
          </w:tcPr>
          <w:p>
            <w:pPr>
              <w:pStyle w:val="TableContents"/>
              <w:bidi w:val="0"/>
              <w:spacing w:before="0" w:after="283"/>
              <w:jc w:val="left"/>
              <w:rPr/>
            </w:pPr>
            <w:r>
              <w:rPr/>
              <w:t> </w:t>
            </w:r>
            <w:bookmarkStart w:id="166" w:name="xdx_405_eus-gaap--InterestIncomeOther_i0"/>
            <w:bookmarkEnd w:id="166"/>
          </w:p>
        </w:tc>
      </w:tr>
      <w:tr>
        <w:trPr/>
        <w:tc>
          <w:tcPr>
            <w:tcW w:w="7325" w:type="dxa"/>
            <w:tcBorders/>
            <w:shd w:fill="CCEEFF" w:val="clear"/>
            <w:vAlign w:val="center"/>
          </w:tcPr>
          <w:p>
            <w:pPr>
              <w:pStyle w:val="TableContents"/>
              <w:bidi w:val="0"/>
              <w:spacing w:before="0" w:after="283"/>
              <w:jc w:val="left"/>
              <w:rPr/>
            </w:pPr>
            <w:r>
              <w:rPr/>
              <w:t xml:space="preserve">Interest income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2,005</w:t>
            </w:r>
          </w:p>
        </w:tc>
        <w:tc>
          <w:tcPr>
            <w:tcW w:w="110" w:type="dxa"/>
            <w:tcBorders/>
            <w:shd w:fill="CCEEFF" w:val="clear"/>
            <w:vAlign w:val="center"/>
          </w:tcPr>
          <w:p>
            <w:pPr>
              <w:pStyle w:val="TableContents"/>
              <w:bidi w:val="0"/>
              <w:spacing w:before="0" w:after="283"/>
              <w:jc w:val="left"/>
              <w:rPr/>
            </w:pPr>
            <w:r>
              <w:rPr/>
              <w:t> </w:t>
            </w:r>
            <w:bookmarkStart w:id="167" w:name="xdx_40C_eus-gaap--InterestExpenseNonoper"/>
            <w:bookmarkEnd w:id="167"/>
          </w:p>
        </w:tc>
      </w:tr>
      <w:tr>
        <w:trPr/>
        <w:tc>
          <w:tcPr>
            <w:tcW w:w="732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(660,088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(723,038</w:t>
            </w:r>
          </w:p>
        </w:tc>
        <w:tc>
          <w:tcPr>
            <w:tcW w:w="110" w:type="dxa"/>
            <w:tcBorders/>
            <w:shd w:fill="CCEEFF" w:val="clear"/>
            <w:vAlign w:val="center"/>
          </w:tcPr>
          <w:p>
            <w:pPr>
              <w:pStyle w:val="TableContents"/>
              <w:bidi w:val="0"/>
              <w:spacing w:before="0" w:after="283"/>
              <w:jc w:val="left"/>
              <w:rPr/>
            </w:pPr>
            <w:r>
              <w:rPr/>
              <w:t>)</w:t>
            </w:r>
            <w:bookmarkStart w:id="168" w:name="xdx_40C_eus-gaap--OtherNonoperatingIncom"/>
            <w:bookmarkEnd w:id="168"/>
          </w:p>
        </w:tc>
      </w:tr>
      <w:tr>
        <w:trPr/>
        <w:tc>
          <w:tcPr>
            <w:tcW w:w="73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(981,223</w:t>
            </w:r>
          </w:p>
        </w:tc>
        <w:tc>
          <w:tcPr>
            <w:tcW w:w="110" w:type="dxa"/>
            <w:tcBorders/>
            <w:shd w:fill="FFFFFF" w:val="clear"/>
            <w:vAlign w:val="center"/>
          </w:tcPr>
          <w:p>
            <w:pPr>
              <w:pStyle w:val="TableContents"/>
              <w:bidi w:val="0"/>
              <w:spacing w:before="0" w:after="283"/>
              <w:jc w:val="left"/>
              <w:rPr/>
            </w:pPr>
            <w:r>
              <w:rPr/>
              <w:t>)</w:t>
            </w:r>
            <w:bookmarkStart w:id="169" w:name="xdx_40C_eus-gaap--ForeignCurrencyTransac"/>
            <w:bookmarkEnd w:id="169"/>
          </w:p>
        </w:tc>
      </w:tr>
      <w:tr>
        <w:trPr/>
        <w:tc>
          <w:tcPr>
            <w:tcW w:w="7325" w:type="dxa"/>
            <w:tcBorders/>
            <w:shd w:fill="CCEEFF" w:val="clear"/>
            <w:vAlign w:val="center"/>
          </w:tcPr>
          <w:p>
            <w:pPr>
              <w:pStyle w:val="TableContents"/>
              <w:bidi w:val="0"/>
              <w:spacing w:before="0" w:after="283"/>
              <w:jc w:val="left"/>
              <w:rPr/>
            </w:pPr>
            <w:r>
              <w:rPr/>
              <w:t>Foreign currency transaction gain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(90,500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11,686</w:t>
            </w:r>
          </w:p>
        </w:tc>
        <w:tc>
          <w:tcPr>
            <w:tcW w:w="110" w:type="dxa"/>
            <w:tcBorders/>
            <w:shd w:fill="CCEEFF" w:val="clear"/>
            <w:vAlign w:val="center"/>
          </w:tcPr>
          <w:p>
            <w:pPr>
              <w:pStyle w:val="TableContents"/>
              <w:bidi w:val="0"/>
              <w:spacing w:before="0" w:after="283"/>
              <w:jc w:val="left"/>
              <w:rPr/>
            </w:pPr>
            <w:r>
              <w:rPr/>
              <w:t> </w:t>
            </w:r>
            <w:bookmarkStart w:id="170" w:name="xdx_408_eus-gaap--NonoperatingIncomeExpe"/>
            <w:bookmarkEnd w:id="170"/>
          </w:p>
        </w:tc>
      </w:tr>
      <w:tr>
        <w:trPr/>
        <w:tc>
          <w:tcPr>
            <w:tcW w:w="732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714,476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(1,429,891</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1" w:name="xdx_406_eus-gaap--IncomeLossFromContinui"/>
            <w:bookmarkEnd w:id="171"/>
          </w:p>
        </w:tc>
      </w:tr>
      <w:tr>
        <w:trPr/>
        <w:tc>
          <w:tcPr>
            <w:tcW w:w="7325" w:type="dxa"/>
            <w:tcBorders/>
            <w:shd w:fill="FFFFFF" w:val="clear"/>
            <w:vAlign w:val="center"/>
          </w:tcPr>
          <w:p>
            <w:pPr>
              <w:pStyle w:val="TableContents"/>
              <w:bidi w:val="0"/>
              <w:spacing w:before="0" w:after="283"/>
              <w:jc w:val="left"/>
              <w:rPr/>
            </w:pPr>
            <w:r>
              <w:rPr/>
              <w:t>Income (loss)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(16,548,832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2,459,199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C_eus-gaap--IncomeTaxExpenseBenefi"/>
            <w:bookmarkEnd w:id="172"/>
          </w:p>
        </w:tc>
      </w:tr>
      <w:tr>
        <w:trPr/>
        <w:tc>
          <w:tcPr>
            <w:tcW w:w="732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10,688,900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632,124</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3" w:name="xdx_401_eus-gaap--ProfitLoss_iT_mtPLzztP"/>
            <w:bookmarkEnd w:id="173"/>
          </w:p>
        </w:tc>
      </w:tr>
      <w:tr>
        <w:trPr/>
        <w:tc>
          <w:tcPr>
            <w:tcW w:w="732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(27,237,732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1,827,075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4" w:name="xdx_408_eus-gaap--NetIncomeLossAttributa"/>
            <w:bookmarkEnd w:id="174"/>
          </w:p>
        </w:tc>
      </w:tr>
      <w:tr>
        <w:trPr/>
        <w:tc>
          <w:tcPr>
            <w:tcW w:w="7325"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(4,865</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 w:name="xdx_40F_eus-gaap--NetIncomeLoss_iT_mtNIL"/>
            <w:bookmarkEnd w:id="175"/>
          </w:p>
        </w:tc>
      </w:tr>
      <w:tr>
        <w:trPr/>
        <w:tc>
          <w:tcPr>
            <w:tcW w:w="7325" w:type="dxa"/>
            <w:tcBorders/>
            <w:shd w:fill="FFFFFF" w:val="clear"/>
            <w:vAlign w:val="center"/>
          </w:tcPr>
          <w:p>
            <w:pPr>
              <w:pStyle w:val="TableContents"/>
              <w:bidi w:val="0"/>
              <w:spacing w:before="0" w:after="283"/>
              <w:jc w:val="left"/>
              <w:rPr/>
            </w:pPr>
            <w:r>
              <w:rPr/>
              <w:t>Net income (loss) attributable to Snail,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(27,235,125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1,831,940</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 w:name="xdx_403_eus-gaap--ComprehensiveIncomeNet"/>
            <w:bookmarkEnd w:id="176"/>
          </w:p>
        </w:tc>
      </w:tr>
      <w:tr>
        <w:trPr/>
        <w:tc>
          <w:tcPr>
            <w:tcW w:w="7325" w:type="dxa"/>
            <w:tcBorders/>
            <w:shd w:fill="FFFFFF" w:val="clear"/>
            <w:vAlign w:val="center"/>
          </w:tcPr>
          <w:p>
            <w:pPr>
              <w:pStyle w:val="TableContents"/>
              <w:bidi w:val="0"/>
              <w:spacing w:before="0" w:after="283"/>
              <w:jc w:val="left"/>
              <w:rPr>
                <w:b/>
              </w:rPr>
            </w:pPr>
            <w:r>
              <w:rPr>
                <w:b/>
              </w:rPr>
              <w:t>Comprehensive income (loss) statement: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0A_eus-gaap--ProfitLoss_maCINOTzsE2"/>
            <w:bookmarkEnd w:id="177"/>
          </w:p>
        </w:tc>
      </w:tr>
      <w:tr>
        <w:trPr/>
        <w:tc>
          <w:tcPr>
            <w:tcW w:w="732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(27,237,732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1,827,075</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8" w:name="xdx_403_eus-gaap--OtherComprehensiveInco"/>
            <w:bookmarkEnd w:id="178"/>
          </w:p>
        </w:tc>
      </w:tr>
      <w:tr>
        <w:trPr/>
        <w:tc>
          <w:tcPr>
            <w:tcW w:w="7325" w:type="dxa"/>
            <w:tcBorders/>
            <w:shd w:fill="FFFFFF" w:val="clear"/>
            <w:vAlign w:val="center"/>
          </w:tcPr>
          <w:p>
            <w:pPr>
              <w:pStyle w:val="TableContents"/>
              <w:bidi w:val="0"/>
              <w:spacing w:before="0" w:after="283"/>
              <w:jc w:val="left"/>
              <w:rPr>
                <w:b/>
              </w:rPr>
            </w:pPr>
            <w:r>
              <w:rPr>
                <w:b/>
              </w:rPr>
              <w:t>Other co</w:t>
            </w:r>
            <w:r>
              <w:rPr>
                <w:rFonts w:ascii="Times New Roman;Times;Serif" w:hAnsi="Times New Roman;Times;Serif"/>
                <w:b/>
                <w:sz w:val="20"/>
              </w:rPr>
              <w:t>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9" w:name="xdx_408_eus-gaap--OtherComprehensiveInco"/>
            <w:bookmarkEnd w:id="179"/>
          </w:p>
        </w:tc>
      </w:tr>
      <w:tr>
        <w:trPr/>
        <w:tc>
          <w:tcPr>
            <w:tcW w:w="7325" w:type="dxa"/>
            <w:tcBorders/>
            <w:shd w:fill="CCEEFF" w:val="clear"/>
            <w:vAlign w:val="center"/>
          </w:tcPr>
          <w:p>
            <w:pPr>
              <w:pStyle w:val="TableContents"/>
              <w:bidi w:val="0"/>
              <w:spacing w:before="0" w:after="283"/>
              <w:jc w:val="left"/>
              <w:rPr/>
            </w:pPr>
            <w:r>
              <w:rPr/>
              <w:t>Other comprehensive loss related to foreign currency translation adjustments,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(25,074</w:t>
            </w:r>
          </w:p>
        </w:tc>
        <w:tc>
          <w:tcPr>
            <w:tcW w:w="110" w:type="dxa"/>
            <w:tcBorders/>
            <w:shd w:fill="CCEEFF" w:val="clear"/>
            <w:vAlign w:val="center"/>
          </w:tcPr>
          <w:p>
            <w:pPr>
              <w:pStyle w:val="TableContents"/>
              <w:bidi w:val="0"/>
              <w:spacing w:before="0" w:after="283"/>
              <w:jc w:val="left"/>
              <w:rPr/>
            </w:pPr>
            <w:r>
              <w:rPr/>
              <w:t>)</w:t>
            </w:r>
            <w:bookmarkStart w:id="180" w:name="xdx_40F_ecustom--OtherComprehensiveIncom"/>
            <w:bookmarkEnd w:id="180"/>
          </w:p>
        </w:tc>
      </w:tr>
      <w:tr>
        <w:trPr/>
        <w:tc>
          <w:tcPr>
            <w:tcW w:w="7325" w:type="dxa"/>
            <w:tcBorders/>
            <w:shd w:fill="FFFFFF" w:val="clear"/>
            <w:vAlign w:val="center"/>
          </w:tcPr>
          <w:p>
            <w:pPr>
              <w:pStyle w:val="TableContents"/>
              <w:bidi w:val="0"/>
              <w:spacing w:before="0" w:after="283"/>
              <w:jc w:val="left"/>
              <w:rPr/>
            </w:pPr>
            <w:r>
              <w:rPr/>
              <w:t>Other comprehensive income related to credit adjustments, net of tax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1" w:name="xdx_400_eus-gaap--OtherComprehensiveInco"/>
            <w:bookmarkEnd w:id="181"/>
          </w:p>
        </w:tc>
      </w:tr>
      <w:tr>
        <w:trPr/>
        <w:tc>
          <w:tcPr>
            <w:tcW w:w="7325" w:type="dxa"/>
            <w:tcBorders/>
            <w:shd w:fill="CCEEFF" w:val="clear"/>
            <w:vAlign w:val="center"/>
          </w:tcPr>
          <w:p>
            <w:pPr>
              <w:pStyle w:val="TableContents"/>
              <w:bidi w:val="0"/>
              <w:spacing w:before="0" w:after="283"/>
              <w:jc w:val="left"/>
              <w:rPr/>
            </w:pPr>
            <w:r>
              <w:rPr/>
              <w:t>Total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(25,074</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2" w:name="xdx_40A_eus-gaap--ComprehensiveIncomeNet"/>
            <w:bookmarkEnd w:id="182"/>
          </w:p>
        </w:tc>
      </w:tr>
      <w:tr>
        <w:trPr/>
        <w:tc>
          <w:tcPr>
            <w:tcW w:w="7325"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(27,233,324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1,802,001</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3" w:name="xdx_402_eus-gaap--NetIncomeLossAvailable"/>
            <w:bookmarkEnd w:id="183"/>
          </w:p>
        </w:tc>
      </w:tr>
      <w:tr>
        <w:trPr/>
        <w:tc>
          <w:tcPr>
            <w:tcW w:w="7325" w:type="dxa"/>
            <w:tcBorders/>
            <w:shd w:fill="CCEEFF" w:val="clear"/>
            <w:vAlign w:val="center"/>
          </w:tcPr>
          <w:p>
            <w:pPr>
              <w:pStyle w:val="TableContents"/>
              <w:bidi w:val="0"/>
              <w:spacing w:before="0" w:after="283"/>
              <w:jc w:val="left"/>
              <w:rPr>
                <w:b/>
              </w:rPr>
            </w:pPr>
            <w:r>
              <w:rPr>
                <w:b/>
              </w:rPr>
              <w:t>Net income (loss)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A_eus-gaap--NetIncomeLossAvailable"/>
            <w:bookmarkEnd w:id="184"/>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(6,322,162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400,576</w:t>
            </w:r>
          </w:p>
        </w:tc>
        <w:tc>
          <w:tcPr>
            <w:tcW w:w="110" w:type="dxa"/>
            <w:tcBorders/>
            <w:shd w:fill="FFFFFF" w:val="clear"/>
            <w:vAlign w:val="center"/>
          </w:tcPr>
          <w:p>
            <w:pPr>
              <w:pStyle w:val="TableContents"/>
              <w:bidi w:val="0"/>
              <w:spacing w:before="0" w:after="283"/>
              <w:jc w:val="left"/>
              <w:rPr/>
            </w:pPr>
            <w:r>
              <w:rPr/>
              <w:t> </w:t>
            </w:r>
            <w:bookmarkStart w:id="185" w:name="xdx_408_eus-gaap--NetIncomeLossAvailable"/>
            <w:bookmarkEnd w:id="185"/>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(6,322,162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400,576</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6" w:name="xdx_40C_eus-gaap--NetIncomeLossAvailable"/>
            <w:bookmarkEnd w:id="186"/>
          </w:p>
        </w:tc>
      </w:tr>
      <w:tr>
        <w:trPr/>
        <w:tc>
          <w:tcPr>
            <w:tcW w:w="7325" w:type="dxa"/>
            <w:tcBorders/>
            <w:shd w:fill="CCEEFF" w:val="clear"/>
            <w:vAlign w:val="center"/>
          </w:tcPr>
          <w:p>
            <w:pPr>
              <w:pStyle w:val="TableContents"/>
              <w:bidi w:val="0"/>
              <w:spacing w:before="0" w:after="283"/>
              <w:jc w:val="left"/>
              <w:rPr>
                <w:b/>
              </w:rPr>
            </w:pPr>
            <w:r>
              <w:rPr>
                <w:b/>
              </w:rPr>
              <w:t>Net income (loss)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7" w:name="xdx_40F_eus-gaap--NetIncomeLossAvailable"/>
            <w:bookmarkEnd w:id="187"/>
          </w:p>
        </w:tc>
      </w:tr>
      <w:tr>
        <w:trPr/>
        <w:tc>
          <w:tcPr>
            <w:tcW w:w="7325" w:type="dxa"/>
            <w:tcBorders/>
            <w:shd w:fill="FFFFFF" w:val="clear"/>
            <w:vAlign w:val="center"/>
          </w:tcPr>
          <w:p>
            <w:pPr>
              <w:pStyle w:val="TableContents"/>
              <w:bidi w:val="0"/>
              <w:spacing w:before="0" w:after="283"/>
              <w:jc w:val="left"/>
              <w:rPr>
                <w:b/>
              </w:rPr>
            </w:pPr>
            <w:r>
              <w:rPr>
                <w:b/>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8" w:name="xdx_408_eus-gaap--NetIncomeLossAvailable"/>
            <w:bookmarkEnd w:id="188"/>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(20,912,963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1,431,364</w:t>
            </w:r>
          </w:p>
        </w:tc>
        <w:tc>
          <w:tcPr>
            <w:tcW w:w="110" w:type="dxa"/>
            <w:tcBorders/>
            <w:shd w:fill="FFFFFF" w:val="clear"/>
            <w:vAlign w:val="center"/>
          </w:tcPr>
          <w:p>
            <w:pPr>
              <w:pStyle w:val="TableContents"/>
              <w:bidi w:val="0"/>
              <w:spacing w:before="0" w:after="283"/>
              <w:jc w:val="left"/>
              <w:rPr/>
            </w:pPr>
            <w:r>
              <w:rPr/>
              <w:t> </w:t>
            </w:r>
            <w:bookmarkStart w:id="189" w:name="xdx_404_eus-gaap--NetIncomeLossAvailable"/>
            <w:bookmarkEnd w:id="189"/>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(21,289,188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1,431,364</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0C_eus-gaap--EarningsPerShareReconc"/>
            <w:bookmarkEnd w:id="190"/>
          </w:p>
        </w:tc>
      </w:tr>
      <w:tr>
        <w:trPr/>
        <w:tc>
          <w:tcPr>
            <w:tcW w:w="7325" w:type="dxa"/>
            <w:tcBorders/>
            <w:shd w:fill="CCEEFF" w:val="clear"/>
            <w:vAlign w:val="center"/>
          </w:tcPr>
          <w:p>
            <w:pPr>
              <w:pStyle w:val="TableContents"/>
              <w:bidi w:val="0"/>
              <w:spacing w:before="0" w:after="283"/>
              <w:jc w:val="left"/>
              <w:rPr>
                <w:b/>
              </w:rPr>
            </w:pPr>
            <w:r>
              <w:rPr>
                <w:b/>
              </w:rPr>
              <w:t>Income (loss) per share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1" w:name="xdx_400_eus-gaap--EarningsPerShareBasic_"/>
            <w:bookmarkEnd w:id="191"/>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0" w:type="dxa"/>
            <w:tcBorders/>
            <w:shd w:fill="FFFFFF" w:val="clear"/>
            <w:vAlign w:val="center"/>
          </w:tcPr>
          <w:p>
            <w:pPr>
              <w:pStyle w:val="TableContents"/>
              <w:bidi w:val="0"/>
              <w:spacing w:before="0" w:after="283"/>
              <w:jc w:val="left"/>
              <w:rPr/>
            </w:pPr>
            <w:r>
              <w:rPr/>
              <w:t> </w:t>
            </w:r>
            <w:bookmarkStart w:id="192" w:name="xdx_405_eus-gaap--EarningsPerShareDilute"/>
            <w:bookmarkEnd w:id="192"/>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3" w:name="xdx_40C_eus-gaap--EarningsPerShareReconc"/>
            <w:bookmarkEnd w:id="193"/>
          </w:p>
        </w:tc>
      </w:tr>
      <w:tr>
        <w:trPr/>
        <w:tc>
          <w:tcPr>
            <w:tcW w:w="7325" w:type="dxa"/>
            <w:tcBorders/>
            <w:shd w:fill="CCEEFF" w:val="clear"/>
            <w:vAlign w:val="center"/>
          </w:tcPr>
          <w:p>
            <w:pPr>
              <w:pStyle w:val="TableContents"/>
              <w:bidi w:val="0"/>
              <w:spacing w:before="0" w:after="283"/>
              <w:jc w:val="left"/>
              <w:rPr>
                <w:b/>
              </w:rPr>
            </w:pPr>
            <w:r>
              <w:rPr>
                <w:b/>
              </w:rPr>
              <w:t>Income (loss) per share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4" w:name="xdx_40F_eus-gaap--EarningsPerShareReconc"/>
            <w:bookmarkEnd w:id="194"/>
          </w:p>
        </w:tc>
      </w:tr>
      <w:tr>
        <w:trPr/>
        <w:tc>
          <w:tcPr>
            <w:tcW w:w="7325" w:type="dxa"/>
            <w:tcBorders/>
            <w:shd w:fill="CCEEFF" w:val="clear"/>
            <w:vAlign w:val="center"/>
          </w:tcPr>
          <w:p>
            <w:pPr>
              <w:pStyle w:val="TableContents"/>
              <w:bidi w:val="0"/>
              <w:spacing w:before="0" w:after="283"/>
              <w:jc w:val="left"/>
              <w:rPr>
                <w:b/>
              </w:rPr>
            </w:pPr>
            <w:r>
              <w:rPr>
                <w:b/>
              </w:rPr>
              <w:t>Income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5" w:name="xdx_402_eus-gaap--EarningsPerShareBasic_"/>
            <w:bookmarkEnd w:id="195"/>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0" w:type="dxa"/>
            <w:tcBorders/>
            <w:shd w:fill="FFFFFF" w:val="clear"/>
            <w:vAlign w:val="center"/>
          </w:tcPr>
          <w:p>
            <w:pPr>
              <w:pStyle w:val="TableContents"/>
              <w:bidi w:val="0"/>
              <w:spacing w:before="0" w:after="283"/>
              <w:jc w:val="left"/>
              <w:rPr/>
            </w:pPr>
            <w:r>
              <w:rPr/>
              <w:t> </w:t>
            </w:r>
            <w:bookmarkStart w:id="196" w:name="xdx_40B_eus-gaap--EarningsPerShareDilute"/>
            <w:bookmarkEnd w:id="196"/>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0.05</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7" w:name="xdx_40A_eus-gaap--WeightedAverageNumberO"/>
            <w:bookmarkEnd w:id="197"/>
          </w:p>
        </w:tc>
      </w:tr>
      <w:tr>
        <w:trPr/>
        <w:tc>
          <w:tcPr>
            <w:tcW w:w="7325" w:type="dxa"/>
            <w:tcBorders/>
            <w:shd w:fill="CCEEFF" w:val="clear"/>
            <w:vAlign w:val="center"/>
          </w:tcPr>
          <w:p>
            <w:pPr>
              <w:pStyle w:val="TableContents"/>
              <w:bidi w:val="0"/>
              <w:spacing w:before="0" w:after="283"/>
              <w:jc w:val="left"/>
              <w:rPr>
                <w:b/>
              </w:rPr>
            </w:pPr>
            <w:r>
              <w:rPr>
                <w:b/>
              </w:rPr>
              <w:t>Weighted-average shares used to compute income (loss) per share attributable to Class A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 w:name="xdx_400_eus-gaap--WeightedAverageNumberO"/>
            <w:bookmarkEnd w:id="198"/>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8,690,934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8,045,469</w:t>
            </w:r>
          </w:p>
        </w:tc>
        <w:tc>
          <w:tcPr>
            <w:tcW w:w="110" w:type="dxa"/>
            <w:tcBorders/>
            <w:shd w:fill="FFFFFF" w:val="clear"/>
            <w:vAlign w:val="center"/>
          </w:tcPr>
          <w:p>
            <w:pPr>
              <w:pStyle w:val="TableContents"/>
              <w:bidi w:val="0"/>
              <w:spacing w:before="0" w:after="283"/>
              <w:jc w:val="left"/>
              <w:rPr/>
            </w:pPr>
            <w:r>
              <w:rPr/>
              <w:t> </w:t>
            </w:r>
            <w:bookmarkStart w:id="199" w:name="xdx_40F_eus-gaap--WeightedAverageNumberO"/>
            <w:bookmarkEnd w:id="199"/>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8,690,934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8,045,469</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0" w:name="xdx_40C_eus-gaap--WeightedAverageNumberO"/>
            <w:bookmarkEnd w:id="200"/>
          </w:p>
        </w:tc>
      </w:tr>
      <w:tr>
        <w:trPr/>
        <w:tc>
          <w:tcPr>
            <w:tcW w:w="7325" w:type="dxa"/>
            <w:tcBorders/>
            <w:shd w:fill="CCEEFF" w:val="clear"/>
            <w:vAlign w:val="center"/>
          </w:tcPr>
          <w:p>
            <w:pPr>
              <w:pStyle w:val="TableContents"/>
              <w:bidi w:val="0"/>
              <w:spacing w:before="0" w:after="283"/>
              <w:jc w:val="left"/>
              <w:rPr>
                <w:b/>
              </w:rPr>
            </w:pPr>
            <w:r>
              <w:rPr>
                <w:b/>
              </w:rPr>
              <w:t>Weighted-average shares used to compute income (loss) per share attributable to Class B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 w:name="xdx_404_eus-gaap--WeightedAverageNumberO"/>
            <w:bookmarkEnd w:id="201"/>
          </w:p>
        </w:tc>
      </w:tr>
      <w:tr>
        <w:trPr/>
        <w:tc>
          <w:tcPr>
            <w:tcW w:w="7325" w:type="dxa"/>
            <w:tcBorders/>
            <w:shd w:fill="FFFFFF" w:val="clear"/>
            <w:vAlign w:val="center"/>
          </w:tcPr>
          <w:p>
            <w:pPr>
              <w:pStyle w:val="TableContents"/>
              <w:bidi w:val="0"/>
              <w:spacing w:before="0" w:after="283"/>
              <w:jc w:val="left"/>
              <w:rPr>
                <w:b/>
              </w:rPr>
            </w:pPr>
            <w:r>
              <w:rPr>
                <w:b/>
              </w:rPr>
              <w:t>Weighted-average shares used to compute income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07_eus-gaap--WeightedAverageNumberO"/>
            <w:bookmarkEnd w:id="202"/>
          </w:p>
        </w:tc>
      </w:tr>
      <w:tr>
        <w:trPr/>
        <w:tc>
          <w:tcPr>
            <w:tcW w:w="732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28,748,580</w:t>
            </w:r>
          </w:p>
        </w:tc>
        <w:tc>
          <w:tcPr>
            <w:tcW w:w="110" w:type="dxa"/>
            <w:tcBorders/>
            <w:shd w:fill="FFFFFF" w:val="clear"/>
            <w:vAlign w:val="center"/>
          </w:tcPr>
          <w:p>
            <w:pPr>
              <w:pStyle w:val="TableContents"/>
              <w:bidi w:val="0"/>
              <w:spacing w:before="0" w:after="283"/>
              <w:jc w:val="left"/>
              <w:rPr/>
            </w:pPr>
            <w:r>
              <w:rPr/>
              <w:t> </w:t>
            </w:r>
            <w:bookmarkStart w:id="203" w:name="xdx_405_eus-gaap--WeightedAverageNumberO"/>
            <w:bookmarkEnd w:id="203"/>
          </w:p>
        </w:tc>
      </w:tr>
      <w:tr>
        <w:trPr/>
        <w:tc>
          <w:tcPr>
            <w:tcW w:w="73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4" w:name="an_004"/>
      <w:bookmarkEnd w:id="204"/>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 (Deficit) 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5" w:name="xdx_300_114_z6LzruqSzUhb"/>
      <w:bookmarkStart w:id="206" w:name="xdx_300_114_z6LzruqSzUhb"/>
      <w:bookmarkEnd w:id="206"/>
    </w:p>
    <w:tbl>
      <w:tblPr>
        <w:tblW w:w="17470"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72"/>
        <w:gridCol w:w="688"/>
        <w:gridCol w:w="60"/>
        <w:gridCol w:w="60"/>
        <w:gridCol w:w="60"/>
        <w:gridCol w:w="1100"/>
        <w:gridCol w:w="60"/>
        <w:gridCol w:w="60"/>
        <w:gridCol w:w="172"/>
        <w:gridCol w:w="688"/>
        <w:gridCol w:w="60"/>
        <w:gridCol w:w="60"/>
        <w:gridCol w:w="140"/>
        <w:gridCol w:w="1100"/>
        <w:gridCol w:w="95"/>
        <w:gridCol w:w="60"/>
        <w:gridCol w:w="222"/>
        <w:gridCol w:w="1388"/>
        <w:gridCol w:w="95"/>
        <w:gridCol w:w="60"/>
        <w:gridCol w:w="145"/>
        <w:gridCol w:w="1225"/>
        <w:gridCol w:w="95"/>
        <w:gridCol w:w="60"/>
        <w:gridCol w:w="60"/>
        <w:gridCol w:w="1055"/>
        <w:gridCol w:w="95"/>
        <w:gridCol w:w="60"/>
        <w:gridCol w:w="140"/>
        <w:gridCol w:w="1055"/>
        <w:gridCol w:w="95"/>
        <w:gridCol w:w="60"/>
        <w:gridCol w:w="140"/>
        <w:gridCol w:w="1175"/>
        <w:gridCol w:w="95"/>
        <w:gridCol w:w="60"/>
        <w:gridCol w:w="140"/>
        <w:gridCol w:w="1055"/>
        <w:gridCol w:w="95"/>
        <w:gridCol w:w="60"/>
        <w:gridCol w:w="140"/>
        <w:gridCol w:w="1175"/>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7" w:name="xdx_4B4_us-gaap--StatementEquityComponen"/>
            <w:bookmarkEnd w:id="20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 w:name="xdx_4BB_us-gaap--StatementEquityComponen"/>
            <w:bookmarkEnd w:id="20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9" w:name="xdx_4B7_us-gaap--StatementEquityComponen"/>
            <w:bookmarkEnd w:id="20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B9_us-gaap--StatementEquityComponen"/>
            <w:bookmarkEnd w:id="210"/>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1" w:name="xdx_4BF_us-gaap--StatementEquityComponen"/>
            <w:bookmarkEnd w:id="21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B0_us-gaap--StatementEquityComponen"/>
            <w:bookmarkEnd w:id="21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3" w:name="xdx_4BA_us-gaap--StatementEquityComponen"/>
            <w:bookmarkEnd w:id="21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 w:name="xdx_4BE_us-gaap--StatementEquityComponen"/>
            <w:bookmarkEnd w:id="214"/>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B5_zNvXSJ5emQ26"/>
            <w:bookmarkEnd w:id="215"/>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Accumulated </w:t>
              <w:br/>
              <w:t xml:space="preserve">Other </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jc w:val="center"/>
              <w:rPr>
                <w:b/>
              </w:rPr>
            </w:pPr>
            <w:r>
              <w:rPr>
                <w:b/>
              </w:rPr>
              <w:t>Snail, Inc.</w:t>
            </w:r>
          </w:p>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Non</w:t>
              <w:b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jc w:val="center"/>
              <w:rPr>
                <w:b/>
              </w:rPr>
            </w:pPr>
            <w:r>
              <w:rPr>
                <w:b/>
              </w:rPr>
              <w:t>Total</w:t>
            </w:r>
          </w:p>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16" w:name="xdx_436_c20250101__20251231_eus-gaap--St"/>
            <w:bookmarkEnd w:id="216"/>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7" w:name="xdx_98F_eus-gaap--SharesOutstanding_iS_p"/>
            <w:bookmarkEnd w:id="217"/>
          </w:p>
        </w:tc>
        <w:tc>
          <w:tcPr>
            <w:tcW w:w="1100" w:type="dxa"/>
            <w:tcBorders/>
            <w:shd w:fill="CCEEFF" w:val="clear"/>
            <w:vAlign w:val="center"/>
          </w:tcPr>
          <w:p>
            <w:pPr>
              <w:pStyle w:val="TableContents"/>
              <w:bidi w:val="0"/>
              <w:spacing w:before="0" w:after="283"/>
              <w:jc w:val="right"/>
              <w:rPr>
                <w:b/>
              </w:rPr>
            </w:pPr>
            <w:r>
              <w:rPr>
                <w:b/>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8" w:name="xdx_98C_eus-gaap--SharesOutstanding_iS_p"/>
            <w:bookmarkEnd w:id="218"/>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25,738,082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b/>
              </w:rPr>
            </w:pPr>
            <w:r>
              <w:rPr>
                <w:b/>
              </w:rPr>
              <w:t>$</w:t>
            </w:r>
          </w:p>
        </w:tc>
        <w:tc>
          <w:tcPr>
            <w:tcW w:w="1388" w:type="dxa"/>
            <w:tcBorders/>
            <w:shd w:fill="CCEEFF" w:val="clear"/>
            <w:vAlign w:val="center"/>
          </w:tcPr>
          <w:p>
            <w:pPr>
              <w:pStyle w:val="TableContents"/>
              <w:bidi w:val="0"/>
              <w:spacing w:before="0" w:after="283"/>
              <w:jc w:val="right"/>
              <w:rPr>
                <w:b/>
              </w:rPr>
            </w:pPr>
            <w:r>
              <w:rPr>
                <w:b/>
              </w:rPr>
              <w:t>(279,457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(12,117,385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9" w:name="xdx_982_eus-gaap--TreasuryStockCommonSha"/>
            <w:bookmarkEnd w:id="219"/>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9,673,271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(5,504,109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4,169,162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0" w:name="xdx_408_eus-gaap--StockIssuedDuringPerio"/>
            <w:bookmarkEnd w:id="220"/>
          </w:p>
        </w:tc>
      </w:tr>
      <w:tr>
        <w:trPr/>
        <w:tc>
          <w:tcPr>
            <w:tcW w:w="1340" w:type="dxa"/>
            <w:tcBorders/>
            <w:shd w:fill="FFFFFF" w:val="clear"/>
            <w:vAlign w:val="center"/>
          </w:tcPr>
          <w:p>
            <w:pPr>
              <w:pStyle w:val="TableContents"/>
              <w:bidi w:val="0"/>
              <w:spacing w:before="0" w:after="283"/>
              <w:jc w:val="both"/>
              <w:rPr/>
            </w:pPr>
            <w:r>
              <w:rPr/>
              <w:t>Conversion of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D_eus-gaap--StockIssuedDuringPerio"/>
            <w:bookmarkEnd w:id="221"/>
          </w:p>
        </w:tc>
      </w:tr>
      <w:tr>
        <w:trPr/>
        <w:tc>
          <w:tcPr>
            <w:tcW w:w="1340" w:type="dxa"/>
            <w:tcBorders/>
            <w:shd w:fill="FFFFFF" w:val="clear"/>
            <w:vAlign w:val="center"/>
          </w:tcPr>
          <w:p>
            <w:pPr>
              <w:pStyle w:val="TableContents"/>
              <w:bidi w:val="0"/>
              <w:spacing w:before="0" w:after="283"/>
              <w:jc w:val="both"/>
              <w:rPr/>
            </w:pPr>
            <w:r>
              <w:rPr/>
              <w:t>Conversion of notes payable,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2" w:name="xdx_407_eus-gaap--StockIssuedDuringPerio"/>
            <w:bookmarkEnd w:id="222"/>
          </w:p>
        </w:tc>
      </w:tr>
      <w:tr>
        <w:trPr/>
        <w:tc>
          <w:tcPr>
            <w:tcW w:w="1340" w:type="dxa"/>
            <w:tcBorders/>
            <w:shd w:fill="CCEEFF" w:val="clear"/>
            <w:vAlign w:val="center"/>
          </w:tcPr>
          <w:p>
            <w:pPr>
              <w:pStyle w:val="TableContents"/>
              <w:bidi w:val="0"/>
              <w:spacing w:before="0" w:after="283"/>
              <w:jc w:val="left"/>
              <w:rPr/>
            </w:pPr>
            <w:r>
              <w:rPr/>
              <w:t>Conversion of convertible notes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3" w:name="xdx_981_eus-gaap--StockIssuedDuringPerio"/>
            <w:bookmarkEnd w:id="223"/>
          </w:p>
        </w:tc>
        <w:tc>
          <w:tcPr>
            <w:tcW w:w="1100" w:type="dxa"/>
            <w:tcBorders/>
            <w:shd w:fill="CCEEFF" w:val="clear"/>
            <w:vAlign w:val="center"/>
          </w:tcPr>
          <w:p>
            <w:pPr>
              <w:pStyle w:val="TableContents"/>
              <w:bidi w:val="0"/>
              <w:spacing w:before="0" w:after="283"/>
              <w:jc w:val="right"/>
              <w:rPr/>
            </w:pPr>
            <w:r>
              <w:rPr/>
              <w:t>295,873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331,470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331,500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4" w:name="xdx_407_eus-gaap--StockIssuedDuringPerio"/>
            <w:bookmarkEnd w:id="224"/>
          </w:p>
        </w:tc>
      </w:tr>
      <w:tr>
        <w:trPr/>
        <w:tc>
          <w:tcPr>
            <w:tcW w:w="134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5" w:name="xdx_981_eus-gaap--StockIssuedDuringPerio"/>
            <w:bookmarkEnd w:id="225"/>
          </w:p>
        </w:tc>
        <w:tc>
          <w:tcPr>
            <w:tcW w:w="1100" w:type="dxa"/>
            <w:tcBorders/>
            <w:shd w:fill="CCEEFF" w:val="clear"/>
            <w:vAlign w:val="center"/>
          </w:tcPr>
          <w:p>
            <w:pPr>
              <w:pStyle w:val="TableContents"/>
              <w:bidi w:val="0"/>
              <w:spacing w:before="0" w:after="283"/>
              <w:jc w:val="right"/>
              <w:rPr/>
            </w:pPr>
            <w:r>
              <w:rPr/>
              <w:t>189,285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482,094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482,113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6" w:name="xdx_404_eus-gaap--AdjustmentsToAdditiona"/>
            <w:bookmarkEnd w:id="226"/>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371,496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8_eus-gaap--StockIssuedDuringPerio"/>
            <w:bookmarkEnd w:id="227"/>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8" w:name="xdx_98F_eus-gaap--StockIssuedDuringPerio"/>
            <w:bookmarkEnd w:id="228"/>
          </w:p>
        </w:tc>
        <w:tc>
          <w:tcPr>
            <w:tcW w:w="1100" w:type="dxa"/>
            <w:tcBorders/>
            <w:shd w:fill="CCEEFF" w:val="clear"/>
            <w:vAlign w:val="center"/>
          </w:tcPr>
          <w:p>
            <w:pPr>
              <w:pStyle w:val="TableContents"/>
              <w:bidi w:val="0"/>
              <w:spacing w:before="0" w:after="283"/>
              <w:jc w:val="right"/>
              <w:rPr/>
            </w:pPr>
            <w:r>
              <w:rPr/>
              <w:t>271,108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9" w:name="xdx_40A_ecustom--AdjustmentToAccumulated"/>
            <w:bookmarkEnd w:id="229"/>
          </w:p>
        </w:tc>
      </w:tr>
      <w:tr>
        <w:trPr/>
        <w:tc>
          <w:tcPr>
            <w:tcW w:w="1340" w:type="dxa"/>
            <w:tcBorders/>
            <w:shd w:fill="CCEEFF" w:val="clear"/>
            <w:vAlign w:val="center"/>
          </w:tcPr>
          <w:p>
            <w:pPr>
              <w:pStyle w:val="TableContents"/>
              <w:bidi w:val="0"/>
              <w:spacing w:before="0" w:after="283"/>
              <w:jc w:val="left"/>
              <w:rPr/>
            </w:pPr>
            <w:r>
              <w:rPr/>
              <w:t>Fair value changes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28,377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28,377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9_eus-gaap--OtherComprehensiveInco"/>
            <w:bookmarkEnd w:id="230"/>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(23,969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(23,969</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A_eus-gaap--ProfitLoss_z2LcHWTAFCx"/>
            <w:bookmarkEnd w:id="231"/>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(27,235,125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(27,235,125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(27,237,732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2" w:name="xdx_43D_c20250101__20251231_eus-gaap--St"/>
            <w:bookmarkEnd w:id="232"/>
          </w:p>
        </w:tc>
      </w:tr>
      <w:tr>
        <w:trPr/>
        <w:tc>
          <w:tcPr>
            <w:tcW w:w="1340"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3" w:name="xdx_98D_eus-gaap--SharesOutstanding_iE_p"/>
            <w:bookmarkEnd w:id="23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10,382,336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4" w:name="xdx_981_eus-gaap--SharesOutstanding_iE_p"/>
            <w:bookmarkEnd w:id="23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26,923,115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(275,049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(39,352,510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5" w:name="xdx_98C_eus-gaap--TreasuryStockCommonSha"/>
            <w:bookmarkEnd w:id="23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(16,372,337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(5,506,716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(21,879,053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69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1100"/>
        <w:gridCol w:w="60"/>
        <w:gridCol w:w="60"/>
        <w:gridCol w:w="172"/>
        <w:gridCol w:w="688"/>
        <w:gridCol w:w="60"/>
        <w:gridCol w:w="60"/>
        <w:gridCol w:w="140"/>
        <w:gridCol w:w="1100"/>
        <w:gridCol w:w="95"/>
        <w:gridCol w:w="60"/>
        <w:gridCol w:w="184"/>
        <w:gridCol w:w="1156"/>
        <w:gridCol w:w="95"/>
        <w:gridCol w:w="60"/>
        <w:gridCol w:w="145"/>
        <w:gridCol w:w="1225"/>
        <w:gridCol w:w="95"/>
        <w:gridCol w:w="60"/>
        <w:gridCol w:w="60"/>
        <w:gridCol w:w="1055"/>
        <w:gridCol w:w="95"/>
        <w:gridCol w:w="60"/>
        <w:gridCol w:w="140"/>
        <w:gridCol w:w="1055"/>
        <w:gridCol w:w="95"/>
        <w:gridCol w:w="60"/>
        <w:gridCol w:w="140"/>
        <w:gridCol w:w="980"/>
        <w:gridCol w:w="95"/>
        <w:gridCol w:w="60"/>
        <w:gridCol w:w="140"/>
        <w:gridCol w:w="1055"/>
        <w:gridCol w:w="95"/>
        <w:gridCol w:w="60"/>
        <w:gridCol w:w="140"/>
        <w:gridCol w:w="98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Snail,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36" w:name="xdx_43D_c20240101__20241231_eus-gaap--St"/>
            <w:bookmarkEnd w:id="236"/>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7" w:name="xdx_98C_eus-gaap--SharesOutstanding_iS_p"/>
            <w:bookmarkEnd w:id="237"/>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8" w:name="xdx_98A_eus-gaap--SharesOutstanding_iS_p"/>
            <w:bookmarkEnd w:id="238"/>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9" w:name="xdx_984_eus-gaap--TreasuryStockCommonSha"/>
            <w:bookmarkEnd w:id="239"/>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bookmarkStart w:id="240" w:name="xdx_435_c20240101__20241231_eus-gaap--St"/>
            <w:bookmarkEnd w:id="240"/>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1" w:name="xdx_98A_eus-gaap--SharesOutstanding_iS_p"/>
            <w:bookmarkEnd w:id="241"/>
          </w:p>
        </w:tc>
        <w:tc>
          <w:tcPr>
            <w:tcW w:w="980" w:type="dxa"/>
            <w:tcBorders/>
            <w:shd w:fill="CCEEFF" w:val="clear"/>
            <w:vAlign w:val="center"/>
          </w:tcPr>
          <w:p>
            <w:pPr>
              <w:pStyle w:val="TableContents"/>
              <w:bidi w:val="0"/>
              <w:spacing w:before="0" w:after="283"/>
              <w:jc w:val="right"/>
              <w:rPr>
                <w:b/>
              </w:rPr>
            </w:pPr>
            <w:r>
              <w:rPr>
                <w:b/>
              </w:rPr>
              <w:t>9,275,420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2" w:name="xdx_985_eus-gaap--SharesOutstanding_iS_p"/>
            <w:bookmarkEnd w:id="242"/>
          </w:p>
        </w:tc>
        <w:tc>
          <w:tcPr>
            <w:tcW w:w="1100" w:type="dxa"/>
            <w:tcBorders/>
            <w:shd w:fill="CCEEFF" w:val="cle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26,171,575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(254,383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(13,949,325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3" w:name="xdx_981_eus-gaap--TreasuryStockCommonSha"/>
            <w:bookmarkEnd w:id="243"/>
          </w:p>
        </w:tc>
        <w:tc>
          <w:tcPr>
            <w:tcW w:w="1055" w:type="dxa"/>
            <w:tcBorders/>
            <w:shd w:fill="CCEEFF" w:val="cle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8,299,863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(5,499,244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2,800,619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4" w:name="xdx_408_eus-gaap--StockIssuedDuringPerio"/>
            <w:bookmarkEnd w:id="244"/>
          </w:p>
        </w:tc>
      </w:tr>
      <w:tr>
        <w:trPr/>
        <w:tc>
          <w:tcPr>
            <w:tcW w:w="1340" w:type="dxa"/>
            <w:tcBorders/>
            <w:shd w:fill="CCEEFF" w:val="clear"/>
            <w:vAlign w:val="center"/>
          </w:tcPr>
          <w:p>
            <w:pPr>
              <w:pStyle w:val="TableContents"/>
              <w:bidi w:val="0"/>
              <w:spacing w:before="0" w:after="283"/>
              <w:jc w:val="left"/>
              <w:rPr/>
            </w:pPr>
            <w:r>
              <w:rPr/>
              <w:t>Conversion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5" w:name="xdx_984_eus-gaap--StockIssuedDuringPerio"/>
            <w:bookmarkEnd w:id="245"/>
          </w:p>
        </w:tc>
        <w:tc>
          <w:tcPr>
            <w:tcW w:w="980" w:type="dxa"/>
            <w:tcBorders/>
            <w:shd w:fill="CCEEFF" w:val="clear"/>
            <w:vAlign w:val="center"/>
          </w:tcPr>
          <w:p>
            <w:pPr>
              <w:pStyle w:val="TableContents"/>
              <w:bidi w:val="0"/>
              <w:spacing w:before="0" w:after="283"/>
              <w:jc w:val="right"/>
              <w:rPr/>
            </w:pPr>
            <w:r>
              <w:rPr/>
              <w:t>71,460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6" w:name="xdx_407_eus-gaap--StockIssuedDuringPerio"/>
            <w:bookmarkEnd w:id="246"/>
          </w:p>
        </w:tc>
      </w:tr>
      <w:tr>
        <w:trPr/>
        <w:tc>
          <w:tcPr>
            <w:tcW w:w="134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7" w:name="xdx_98B_eus-gaap--StockIssuedDuringPerio"/>
            <w:bookmarkEnd w:id="247"/>
          </w:p>
        </w:tc>
        <w:tc>
          <w:tcPr>
            <w:tcW w:w="980" w:type="dxa"/>
            <w:tcBorders/>
            <w:shd w:fill="CCEEFF" w:val="clear"/>
            <w:vAlign w:val="center"/>
          </w:tcPr>
          <w:p>
            <w:pPr>
              <w:pStyle w:val="TableContents"/>
              <w:bidi w:val="0"/>
              <w:spacing w:before="0" w:after="283"/>
              <w:jc w:val="right"/>
              <w:rPr/>
            </w:pPr>
            <w:r>
              <w:rPr/>
              <w:t>235,712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396,726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396,750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1_eus-gaap--AdjustmentsToAdditiona"/>
            <w:bookmarkEnd w:id="248"/>
          </w:p>
        </w:tc>
      </w:tr>
      <w:tr>
        <w:trPr/>
        <w:tc>
          <w:tcPr>
            <w:tcW w:w="1340" w:type="dxa"/>
            <w:tcBorders/>
            <w:shd w:fill="CCEEFF" w:val="clear"/>
            <w:vAlign w:val="center"/>
          </w:tcPr>
          <w:p>
            <w:pPr>
              <w:pStyle w:val="TableContents"/>
              <w:bidi w:val="0"/>
              <w:spacing w:before="0" w:after="283"/>
              <w:jc w:val="left"/>
              <w:rPr/>
            </w:pPr>
            <w:r>
              <w:rPr/>
              <w:t>Stock based compensation related to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(890,208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(890,208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(890,208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9" w:name="xdx_405_eus-gaap--StockIssuedDuringPerio"/>
            <w:bookmarkEnd w:id="249"/>
          </w:p>
        </w:tc>
      </w:tr>
      <w:tr>
        <w:trPr/>
        <w:tc>
          <w:tcPr>
            <w:tcW w:w="1340" w:type="dxa"/>
            <w:tcBorders/>
            <w:shd w:fill="CCEEFF" w:val="clear"/>
            <w:vAlign w:val="center"/>
          </w:tcPr>
          <w:p>
            <w:pPr>
              <w:pStyle w:val="TableContents"/>
              <w:bidi w:val="0"/>
              <w:spacing w:before="0" w:after="283"/>
              <w:jc w:val="left"/>
              <w:rPr/>
            </w:pPr>
            <w:r>
              <w:rPr/>
              <w:t>Common stock issued for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0" w:name="xdx_98F_eus-gaap--StockIssuedDuringPerio"/>
            <w:bookmarkEnd w:id="250"/>
          </w:p>
        </w:tc>
        <w:tc>
          <w:tcPr>
            <w:tcW w:w="980" w:type="dxa"/>
            <w:tcBorders/>
            <w:shd w:fill="CCEEFF" w:val="clear"/>
            <w:vAlign w:val="center"/>
          </w:tcPr>
          <w:p>
            <w:pPr>
              <w:pStyle w:val="TableContents"/>
              <w:bidi w:val="0"/>
              <w:spacing w:before="0" w:after="283"/>
              <w:jc w:val="right"/>
              <w:rPr/>
            </w:pPr>
            <w:r>
              <w:rPr/>
              <w:t>43,478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1" w:name="xdx_409_eus-gaap--OtherComprehensiveInco"/>
            <w:bookmarkEnd w:id="251"/>
          </w:p>
        </w:tc>
      </w:tr>
      <w:tr>
        <w:trPr/>
        <w:tc>
          <w:tcPr>
            <w:tcW w:w="134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(25,074</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2" w:name="xdx_404_eus-gaap--ProfitLoss_z4DKgGcpA4B"/>
            <w:bookmarkEnd w:id="252"/>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1,831,940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1,831,940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1,827,075</w:t>
            </w:r>
          </w:p>
        </w:tc>
        <w:tc>
          <w:tcPr>
            <w:tcW w:w="110" w:type="dxa"/>
            <w:tcBorders/>
            <w:shd w:fill="CCEEFF" w:val="clear"/>
            <w:vAlign w:val="center"/>
          </w:tcPr>
          <w:p>
            <w:pPr>
              <w:pStyle w:val="TableContents"/>
              <w:bidi w:val="0"/>
              <w:spacing w:before="0" w:after="283"/>
              <w:jc w:val="left"/>
              <w:rPr/>
            </w:pPr>
            <w:r>
              <w:rPr/>
              <w:t> </w:t>
            </w:r>
            <w:bookmarkStart w:id="253" w:name="xdx_405_eus-gaap--ProfitLoss_zkdUNck4yZp"/>
            <w:bookmarkEnd w:id="253"/>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1,831,940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1,831,940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1,827,075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4" w:name="xdx_436_c20240101__20241231_eus-gaap--St"/>
            <w:bookmarkEnd w:id="254"/>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5" w:name="xdx_982_eus-gaap--SharesOutstanding_iE_p"/>
            <w:bookmarkEnd w:id="25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6" w:name="xdx_98D_eus-gaap--SharesOutstanding_iE_p"/>
            <w:bookmarkEnd w:id="25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25,738,082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(279,457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(12,117,385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7" w:name="xdx_982_eus-gaap--TreasuryStockCommonSha"/>
            <w:bookmarkEnd w:id="257"/>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(5,504,109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4,169,162</w:t>
            </w:r>
          </w:p>
        </w:tc>
        <w:tc>
          <w:tcPr>
            <w:tcW w:w="110" w:type="dxa"/>
            <w:tcBorders/>
            <w:shd w:fill="CCEEFF" w:val="clear"/>
            <w:vAlign w:val="center"/>
          </w:tcPr>
          <w:p>
            <w:pPr>
              <w:pStyle w:val="TableContents"/>
              <w:bidi w:val="0"/>
              <w:spacing w:before="0" w:after="283"/>
              <w:jc w:val="left"/>
              <w:rPr/>
            </w:pPr>
            <w:r>
              <w:rPr/>
              <w:t> </w:t>
            </w:r>
            <w:bookmarkStart w:id="258" w:name="xdx_43B_c20240101__20241231_eus-gaap--St"/>
            <w:bookmarkEnd w:id="258"/>
          </w:p>
        </w:tc>
      </w:tr>
      <w:tr>
        <w:trPr/>
        <w:tc>
          <w:tcPr>
            <w:tcW w:w="13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9" w:name="xdx_98F_eus-gaap--SharesOutstanding_iE_p"/>
            <w:bookmarkEnd w:id="25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9,626,070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0" w:name="xdx_987_eus-gaap--SharesOutstanding_iE_p"/>
            <w:bookmarkEnd w:id="26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28,748,580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25,738,082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(279,457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(12,117,385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1" w:name="xdx_98A_eus-gaap--TreasuryStockCommonSha"/>
            <w:bookmarkEnd w:id="26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(1,350,275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(3,671,806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9,673,271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(5,504,109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4,169,162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2" w:name="an_005"/>
      <w:bookmarkEnd w:id="262"/>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3" w:name="xdx_302_112_zqq9ScZKi0bh"/>
      <w:bookmarkStart w:id="264" w:name="xdx_302_112_zqq9ScZKi0bh"/>
      <w:bookmarkEnd w:id="264"/>
    </w:p>
    <w:tbl>
      <w:tblPr>
        <w:tblW w:w="10205" w:type="dxa"/>
        <w:jc w:val="left"/>
        <w:tblInd w:w="0" w:type="dxa"/>
        <w:tblLayout w:type="fixed"/>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5" w:name="xdx_494_20250101__20251231_zBlLTvZ71WMc"/>
            <w:bookmarkEnd w:id="265"/>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6" w:name="xdx_495_20240101__20241231_zPzSWrLPpuO4"/>
            <w:bookmarkEnd w:id="26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67" w:name="xdx_40B_eus-gaap--NetCashProvidedByUsedI"/>
            <w:bookmarkEnd w:id="267"/>
          </w:p>
        </w:tc>
      </w:tr>
      <w:tr>
        <w:trPr/>
        <w:tc>
          <w:tcPr>
            <w:tcW w:w="732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8" w:name="xdx_409_eus-gaap--ProfitLoss_i01_maNCPBU"/>
            <w:bookmarkEnd w:id="268"/>
          </w:p>
        </w:tc>
      </w:tr>
      <w:tr>
        <w:trPr/>
        <w:tc>
          <w:tcPr>
            <w:tcW w:w="732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(27,237,732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1,827,075</w:t>
            </w:r>
          </w:p>
        </w:tc>
        <w:tc>
          <w:tcPr>
            <w:tcW w:w="110" w:type="dxa"/>
            <w:tcBorders/>
            <w:shd w:fill="FFFFFF" w:val="clear"/>
            <w:vAlign w:val="center"/>
          </w:tcPr>
          <w:p>
            <w:pPr>
              <w:pStyle w:val="TableContents"/>
              <w:bidi w:val="0"/>
              <w:spacing w:before="0" w:after="283"/>
              <w:jc w:val="left"/>
              <w:rPr/>
            </w:pPr>
            <w:r>
              <w:rPr/>
              <w:t> </w:t>
            </w:r>
            <w:bookmarkStart w:id="269" w:name="xdx_405_eus-gaap--AdjustmentsToReconcile"/>
            <w:bookmarkEnd w:id="269"/>
          </w:p>
        </w:tc>
      </w:tr>
      <w:tr>
        <w:trPr/>
        <w:tc>
          <w:tcPr>
            <w:tcW w:w="7325" w:type="dxa"/>
            <w:tcBorders/>
            <w:shd w:fill="CCEEFF" w:val="clear"/>
            <w:vAlign w:val="center"/>
          </w:tcPr>
          <w:p>
            <w:pPr>
              <w:pStyle w:val="TableContents"/>
              <w:bidi w:val="0"/>
              <w:spacing w:before="0" w:after="283"/>
              <w:jc w:val="left"/>
              <w:rPr/>
            </w:pPr>
            <w:r>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0" w:name="xdx_401_eus-gaap--AmortizationOfIntangib"/>
            <w:bookmarkEnd w:id="270"/>
          </w:p>
        </w:tc>
      </w:tr>
      <w:tr>
        <w:trPr/>
        <w:tc>
          <w:tcPr>
            <w:tcW w:w="7325" w:type="dxa"/>
            <w:tcBorders/>
            <w:shd w:fill="FFFFFF" w:val="clear"/>
            <w:vAlign w:val="center"/>
          </w:tcPr>
          <w:p>
            <w:pPr>
              <w:pStyle w:val="TableContents"/>
              <w:bidi w:val="0"/>
              <w:spacing w:before="0" w:after="283"/>
              <w:jc w:val="left"/>
              <w:rPr/>
            </w:pPr>
            <w:r>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7,804</w:t>
            </w:r>
          </w:p>
        </w:tc>
        <w:tc>
          <w:tcPr>
            <w:tcW w:w="110" w:type="dxa"/>
            <w:tcBorders/>
            <w:shd w:fill="FFFFFF" w:val="clear"/>
            <w:vAlign w:val="center"/>
          </w:tcPr>
          <w:p>
            <w:pPr>
              <w:pStyle w:val="TableContents"/>
              <w:bidi w:val="0"/>
              <w:spacing w:before="0" w:after="283"/>
              <w:jc w:val="left"/>
              <w:rPr/>
            </w:pPr>
            <w:r>
              <w:rPr/>
              <w:t> </w:t>
            </w:r>
            <w:bookmarkStart w:id="271" w:name="xdx_405_eus-gaap--AmortizationOfIntangib"/>
            <w:bookmarkEnd w:id="271"/>
          </w:p>
        </w:tc>
      </w:tr>
      <w:tr>
        <w:trPr/>
        <w:tc>
          <w:tcPr>
            <w:tcW w:w="7325" w:type="dxa"/>
            <w:tcBorders/>
            <w:shd w:fill="CCEEFF" w:val="clear"/>
            <w:vAlign w:val="center"/>
          </w:tcPr>
          <w:p>
            <w:pPr>
              <w:pStyle w:val="TableContents"/>
              <w:bidi w:val="0"/>
              <w:spacing w:before="0" w:after="283"/>
              <w:jc w:val="left"/>
              <w:rPr/>
            </w:pPr>
            <w:r>
              <w:rPr/>
              <w:t>Amortization – intangible assets, net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2" w:name="xdx_40A_eus-gaap--AmortizationOfIntangib"/>
            <w:bookmarkEnd w:id="272"/>
          </w:p>
        </w:tc>
      </w:tr>
      <w:tr>
        <w:trPr/>
        <w:tc>
          <w:tcPr>
            <w:tcW w:w="7325" w:type="dxa"/>
            <w:tcBorders/>
            <w:shd w:fill="FFFFFF" w:val="clear"/>
            <w:vAlign w:val="center"/>
          </w:tcPr>
          <w:p>
            <w:pPr>
              <w:pStyle w:val="TableContents"/>
              <w:bidi w:val="0"/>
              <w:spacing w:before="0" w:after="283"/>
              <w:jc w:val="left"/>
              <w:rPr/>
            </w:pPr>
            <w:r>
              <w:rPr/>
              <w:t>Amortization –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3" w:name="xdx_408_eus-gaap--AmortizationOfRegulato"/>
            <w:bookmarkEnd w:id="273"/>
          </w:p>
        </w:tc>
      </w:tr>
      <w:tr>
        <w:trPr/>
        <w:tc>
          <w:tcPr>
            <w:tcW w:w="7325" w:type="dxa"/>
            <w:tcBorders/>
            <w:shd w:fill="FFFFFF" w:val="clear"/>
            <w:vAlign w:val="center"/>
          </w:tcPr>
          <w:p>
            <w:pPr>
              <w:pStyle w:val="TableContents"/>
              <w:bidi w:val="0"/>
              <w:spacing w:before="0" w:after="283"/>
              <w:jc w:val="left"/>
              <w:rPr/>
            </w:pPr>
            <w:r>
              <w:rPr/>
              <w:t>Amortization –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1,331,330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4" w:name="xdx_406_ecustom--AmortizationLoanOrigina"/>
            <w:bookmarkEnd w:id="274"/>
          </w:p>
        </w:tc>
      </w:tr>
      <w:tr>
        <w:trPr/>
        <w:tc>
          <w:tcPr>
            <w:tcW w:w="7325" w:type="dxa"/>
            <w:tcBorders/>
            <w:shd w:fill="CCEEFF" w:val="clear"/>
            <w:vAlign w:val="center"/>
          </w:tcPr>
          <w:p>
            <w:pPr>
              <w:pStyle w:val="TableContents"/>
              <w:bidi w:val="0"/>
              <w:spacing w:before="0" w:after="283"/>
              <w:jc w:val="left"/>
              <w:rPr/>
            </w:pPr>
            <w:r>
              <w:rPr/>
              <w:t>Amortization – loan origination fees and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62,855</w:t>
            </w:r>
          </w:p>
        </w:tc>
        <w:tc>
          <w:tcPr>
            <w:tcW w:w="110" w:type="dxa"/>
            <w:tcBorders/>
            <w:shd w:fill="CCEEFF" w:val="clear"/>
            <w:vAlign w:val="center"/>
          </w:tcPr>
          <w:p>
            <w:pPr>
              <w:pStyle w:val="TableContents"/>
              <w:bidi w:val="0"/>
              <w:spacing w:before="0" w:after="283"/>
              <w:jc w:val="left"/>
              <w:rPr/>
            </w:pPr>
            <w:r>
              <w:rPr/>
              <w:t> </w:t>
            </w:r>
            <w:bookmarkStart w:id="275" w:name="xdx_409_ecustom--AccretionConvertibleDeb"/>
            <w:bookmarkEnd w:id="275"/>
          </w:p>
        </w:tc>
      </w:tr>
      <w:tr>
        <w:trPr/>
        <w:tc>
          <w:tcPr>
            <w:tcW w:w="7325" w:type="dxa"/>
            <w:tcBorders/>
            <w:shd w:fill="FFFFFF" w:val="clear"/>
            <w:vAlign w:val="center"/>
          </w:tcPr>
          <w:p>
            <w:pPr>
              <w:pStyle w:val="TableContents"/>
              <w:bidi w:val="0"/>
              <w:spacing w:before="0" w:after="283"/>
              <w:jc w:val="left"/>
              <w:rPr/>
            </w:pPr>
            <w:r>
              <w:rPr/>
              <w:t>Accretion –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222,628</w:t>
            </w:r>
          </w:p>
        </w:tc>
        <w:tc>
          <w:tcPr>
            <w:tcW w:w="110" w:type="dxa"/>
            <w:tcBorders/>
            <w:shd w:fill="FFFFFF" w:val="clear"/>
            <w:vAlign w:val="center"/>
          </w:tcPr>
          <w:p>
            <w:pPr>
              <w:pStyle w:val="TableContents"/>
              <w:bidi w:val="0"/>
              <w:spacing w:before="0" w:after="283"/>
              <w:jc w:val="left"/>
              <w:rPr/>
            </w:pPr>
            <w:r>
              <w:rPr/>
              <w:t> </w:t>
            </w:r>
            <w:bookmarkStart w:id="276" w:name="xdx_405_ecustom--GainOnChangeInFairValue"/>
            <w:bookmarkEnd w:id="276"/>
          </w:p>
        </w:tc>
      </w:tr>
      <w:tr>
        <w:trPr/>
        <w:tc>
          <w:tcPr>
            <w:tcW w:w="7325" w:type="dxa"/>
            <w:tcBorders/>
            <w:shd w:fill="CCEEFF" w:val="clear"/>
            <w:vAlign w:val="center"/>
          </w:tcPr>
          <w:p>
            <w:pPr>
              <w:pStyle w:val="TableContents"/>
              <w:bidi w:val="0"/>
              <w:spacing w:before="0" w:after="283"/>
              <w:jc w:val="left"/>
              <w:rPr/>
            </w:pPr>
            <w:r>
              <w:rPr/>
              <w:t>Loss on 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504,658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7" w:name="xdx_40E_eus-gaap--FairValueAdjustmentOfW"/>
            <w:bookmarkEnd w:id="277"/>
          </w:p>
        </w:tc>
      </w:tr>
      <w:tr>
        <w:trPr/>
        <w:tc>
          <w:tcPr>
            <w:tcW w:w="7325" w:type="dxa"/>
            <w:tcBorders/>
            <w:shd w:fill="FFFFFF" w:val="clear"/>
            <w:vAlign w:val="center"/>
          </w:tcPr>
          <w:p>
            <w:pPr>
              <w:pStyle w:val="TableContents"/>
              <w:bidi w:val="0"/>
              <w:spacing w:before="0" w:after="283"/>
              <w:jc w:val="left"/>
              <w:rPr/>
            </w:pPr>
            <w:r>
              <w:rPr/>
              <w:t>(Gain) loss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(719,925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1,332,815</w:t>
            </w:r>
          </w:p>
        </w:tc>
        <w:tc>
          <w:tcPr>
            <w:tcW w:w="110" w:type="dxa"/>
            <w:tcBorders/>
            <w:shd w:fill="FFFFFF" w:val="clear"/>
            <w:vAlign w:val="center"/>
          </w:tcPr>
          <w:p>
            <w:pPr>
              <w:pStyle w:val="TableContents"/>
              <w:bidi w:val="0"/>
              <w:spacing w:before="0" w:after="283"/>
              <w:jc w:val="left"/>
              <w:rPr/>
            </w:pPr>
            <w:r>
              <w:rPr/>
              <w:t> </w:t>
            </w:r>
            <w:bookmarkStart w:id="278" w:name="xdx_400_eus-gaap--Depreciation_i02_maNCP"/>
            <w:bookmarkEnd w:id="278"/>
          </w:p>
        </w:tc>
      </w:tr>
      <w:tr>
        <w:trPr/>
        <w:tc>
          <w:tcPr>
            <w:tcW w:w="7325" w:type="dxa"/>
            <w:tcBorders/>
            <w:shd w:fill="CCEEFF" w:val="clear"/>
            <w:vAlign w:val="center"/>
          </w:tcPr>
          <w:p>
            <w:pPr>
              <w:pStyle w:val="TableContents"/>
              <w:bidi w:val="0"/>
              <w:spacing w:before="0" w:after="283"/>
              <w:jc w:val="left"/>
              <w:rPr/>
            </w:pPr>
            <w:r>
              <w:rPr/>
              <w:t>Depreciation –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303,714</w:t>
            </w:r>
          </w:p>
        </w:tc>
        <w:tc>
          <w:tcPr>
            <w:tcW w:w="110" w:type="dxa"/>
            <w:tcBorders/>
            <w:shd w:fill="CCEEFF" w:val="clear"/>
            <w:vAlign w:val="center"/>
          </w:tcPr>
          <w:p>
            <w:pPr>
              <w:pStyle w:val="TableContents"/>
              <w:bidi w:val="0"/>
              <w:spacing w:before="0" w:after="283"/>
              <w:jc w:val="left"/>
              <w:rPr/>
            </w:pPr>
            <w:r>
              <w:rPr/>
              <w:t> </w:t>
            </w:r>
            <w:bookmarkStart w:id="279" w:name="xdx_409_eus-gaap--OtherAssetImpairmentCh"/>
            <w:bookmarkEnd w:id="279"/>
          </w:p>
        </w:tc>
      </w:tr>
      <w:tr>
        <w:trPr/>
        <w:tc>
          <w:tcPr>
            <w:tcW w:w="7325" w:type="dxa"/>
            <w:tcBorders/>
            <w:shd w:fill="FFFFFF" w:val="clear"/>
            <w:vAlign w:val="center"/>
          </w:tcPr>
          <w:p>
            <w:pPr>
              <w:pStyle w:val="TableContents"/>
              <w:bidi w:val="0"/>
              <w:spacing w:before="0" w:after="283"/>
              <w:jc w:val="left"/>
              <w:rPr/>
            </w:pPr>
            <w:r>
              <w:rPr/>
              <w:t>Impairment of film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868,722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0" w:name="xdx_40F_eus-gaap--ImpairmentOfIntangible"/>
            <w:bookmarkEnd w:id="280"/>
          </w:p>
        </w:tc>
      </w:tr>
      <w:tr>
        <w:trPr/>
        <w:tc>
          <w:tcPr>
            <w:tcW w:w="7325"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667,460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1" w:name="xdx_405_ecustom--GainLossOnRemeasurement"/>
            <w:bookmarkEnd w:id="281"/>
          </w:p>
        </w:tc>
      </w:tr>
      <w:tr>
        <w:trPr/>
        <w:tc>
          <w:tcPr>
            <w:tcW w:w="7325" w:type="dxa"/>
            <w:tcBorders/>
            <w:shd w:fill="FFFFFF" w:val="clear"/>
            <w:vAlign w:val="center"/>
          </w:tcPr>
          <w:p>
            <w:pPr>
              <w:pStyle w:val="TableContents"/>
              <w:bidi w:val="0"/>
              <w:spacing w:before="0" w:after="283"/>
              <w:jc w:val="left"/>
              <w:rPr/>
            </w:pPr>
            <w:r>
              <w:rPr/>
              <w:t>Gain on remeasurement of previously held equity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2" w:name="xdx_40B_eus-gaap--ShareBasedCompensation"/>
            <w:bookmarkEnd w:id="282"/>
          </w:p>
        </w:tc>
      </w:tr>
      <w:tr>
        <w:trPr/>
        <w:tc>
          <w:tcPr>
            <w:tcW w:w="7325" w:type="dxa"/>
            <w:tcBorders/>
            <w:shd w:fill="CCEEFF" w:val="clear"/>
            <w:vAlign w:val="center"/>
          </w:tcPr>
          <w:p>
            <w:pPr>
              <w:pStyle w:val="TableContents"/>
              <w:bidi w:val="0"/>
              <w:spacing w:before="0" w:after="283"/>
              <w:jc w:val="left"/>
              <w:rPr/>
            </w:pPr>
            <w:r>
              <w:rPr/>
              <w:t>Stock-based compensation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(890,208</w:t>
            </w:r>
          </w:p>
        </w:tc>
        <w:tc>
          <w:tcPr>
            <w:tcW w:w="110" w:type="dxa"/>
            <w:tcBorders/>
            <w:shd w:fill="CCEEFF" w:val="clear"/>
            <w:vAlign w:val="center"/>
          </w:tcPr>
          <w:p>
            <w:pPr>
              <w:pStyle w:val="TableContents"/>
              <w:bidi w:val="0"/>
              <w:spacing w:before="0" w:after="283"/>
              <w:jc w:val="left"/>
              <w:rPr/>
            </w:pPr>
            <w:r>
              <w:rPr/>
              <w:t>)</w:t>
            </w:r>
            <w:bookmarkStart w:id="283" w:name="xdx_407_ecustom--DeferredIncomeTaxExpens"/>
            <w:bookmarkEnd w:id="283"/>
          </w:p>
        </w:tc>
      </w:tr>
      <w:tr>
        <w:trPr/>
        <w:tc>
          <w:tcPr>
            <w:tcW w:w="7325" w:type="dxa"/>
            <w:tcBorders/>
            <w:shd w:fill="FFFFFF" w:val="clear"/>
            <w:vAlign w:val="center"/>
          </w:tcPr>
          <w:p>
            <w:pPr>
              <w:pStyle w:val="TableContents"/>
              <w:bidi w:val="0"/>
              <w:spacing w:before="0" w:after="283"/>
              <w:jc w:val="left"/>
              <w:rPr/>
            </w:pPr>
            <w:r>
              <w:rPr/>
              <w:t>Deferred taxes,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10,817,741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(569,601</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4" w:name="xdx_403_eus-gaap--IncreaseDecreaseInOper"/>
            <w:bookmarkEnd w:id="284"/>
          </w:p>
        </w:tc>
      </w:tr>
      <w:tr>
        <w:trPr/>
        <w:tc>
          <w:tcPr>
            <w:tcW w:w="7325" w:type="dxa"/>
            <w:tcBorders/>
            <w:shd w:fill="FFFFFF" w:val="clear"/>
            <w:vAlign w:val="center"/>
          </w:tcPr>
          <w:p>
            <w:pPr>
              <w:pStyle w:val="TableContents"/>
              <w:bidi w:val="0"/>
              <w:spacing w:before="0" w:after="283"/>
              <w:jc w:val="left"/>
              <w:rPr/>
            </w:pPr>
            <w:r>
              <w:rPr/>
              <w:t>Changes in assets and liabilities, net of business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5" w:name="xdx_401_eus-gaap--IncreaseDecreaseInAcco"/>
            <w:bookmarkEnd w:id="285"/>
          </w:p>
        </w:tc>
      </w:tr>
      <w:tr>
        <w:trPr/>
        <w:tc>
          <w:tcPr>
            <w:tcW w:w="7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(2,678,525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15,319,987</w:t>
            </w:r>
          </w:p>
        </w:tc>
        <w:tc>
          <w:tcPr>
            <w:tcW w:w="110" w:type="dxa"/>
            <w:tcBorders/>
            <w:shd w:fill="CCEEFF" w:val="clear"/>
            <w:vAlign w:val="center"/>
          </w:tcPr>
          <w:p>
            <w:pPr>
              <w:pStyle w:val="TableContents"/>
              <w:bidi w:val="0"/>
              <w:spacing w:before="0" w:after="283"/>
              <w:jc w:val="left"/>
              <w:rPr/>
            </w:pPr>
            <w:r>
              <w:rPr/>
              <w:t> </w:t>
            </w:r>
            <w:bookmarkStart w:id="286" w:name="xdx_405_eus-gaap--IncreaseDecreaseInAcco"/>
            <w:bookmarkEnd w:id="286"/>
          </w:p>
        </w:tc>
      </w:tr>
      <w:tr>
        <w:trPr/>
        <w:tc>
          <w:tcPr>
            <w:tcW w:w="7325"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3,836,866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3,663,726</w:t>
            </w:r>
          </w:p>
        </w:tc>
        <w:tc>
          <w:tcPr>
            <w:tcW w:w="110" w:type="dxa"/>
            <w:tcBorders/>
            <w:shd w:fill="FFFFFF" w:val="clear"/>
            <w:vAlign w:val="center"/>
          </w:tcPr>
          <w:p>
            <w:pPr>
              <w:pStyle w:val="TableContents"/>
              <w:bidi w:val="0"/>
              <w:spacing w:before="0" w:after="283"/>
              <w:jc w:val="left"/>
              <w:rPr/>
            </w:pPr>
            <w:r>
              <w:rPr/>
              <w:t> </w:t>
            </w:r>
            <w:bookmarkStart w:id="287" w:name="xdx_409_ecustom--IncreaseDecreaseInPrepa"/>
            <w:bookmarkEnd w:id="287"/>
          </w:p>
        </w:tc>
      </w:tr>
      <w:tr>
        <w:trPr/>
        <w:tc>
          <w:tcPr>
            <w:tcW w:w="7325" w:type="dxa"/>
            <w:tcBorders/>
            <w:shd w:fill="CCEEFF" w:val="clear"/>
            <w:vAlign w:val="center"/>
          </w:tcPr>
          <w:p>
            <w:pPr>
              <w:pStyle w:val="TableContents"/>
              <w:bidi w:val="0"/>
              <w:spacing w:before="0" w:after="283"/>
              <w:jc w:val="left"/>
              <w:rPr/>
            </w:pPr>
            <w:r>
              <w:rPr/>
              <w:t>Prepaid expenses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(1,583,563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1,928,581</w:t>
            </w:r>
          </w:p>
        </w:tc>
        <w:tc>
          <w:tcPr>
            <w:tcW w:w="110" w:type="dxa"/>
            <w:tcBorders/>
            <w:shd w:fill="CCEEFF" w:val="clear"/>
            <w:vAlign w:val="center"/>
          </w:tcPr>
          <w:p>
            <w:pPr>
              <w:pStyle w:val="TableContents"/>
              <w:bidi w:val="0"/>
              <w:spacing w:before="0" w:after="283"/>
              <w:jc w:val="left"/>
              <w:rPr/>
            </w:pPr>
            <w:r>
              <w:rPr/>
              <w:t> </w:t>
            </w:r>
            <w:bookmarkStart w:id="288" w:name="xdx_40A_eus-gaap--IncreaseDecreaseInPrep"/>
            <w:bookmarkEnd w:id="288"/>
          </w:p>
        </w:tc>
      </w:tr>
      <w:tr>
        <w:trPr/>
        <w:tc>
          <w:tcPr>
            <w:tcW w:w="7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(386,461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(1,206,331</w:t>
            </w:r>
          </w:p>
        </w:tc>
        <w:tc>
          <w:tcPr>
            <w:tcW w:w="110" w:type="dxa"/>
            <w:tcBorders/>
            <w:shd w:fill="FFFFFF" w:val="clear"/>
            <w:vAlign w:val="center"/>
          </w:tcPr>
          <w:p>
            <w:pPr>
              <w:pStyle w:val="TableContents"/>
              <w:bidi w:val="0"/>
              <w:spacing w:before="0" w:after="283"/>
              <w:jc w:val="left"/>
              <w:rPr/>
            </w:pPr>
            <w:r>
              <w:rPr/>
              <w:t>)</w:t>
            </w:r>
            <w:bookmarkStart w:id="289" w:name="xdx_409_eus-gaap--IncreaseDecreaseInPrep"/>
            <w:bookmarkEnd w:id="289"/>
          </w:p>
        </w:tc>
      </w:tr>
      <w:tr>
        <w:trPr/>
        <w:tc>
          <w:tcPr>
            <w:tcW w:w="7325" w:type="dxa"/>
            <w:tcBorders/>
            <w:shd w:fill="CCEEFF" w:val="clear"/>
            <w:vAlign w:val="center"/>
          </w:tcPr>
          <w:p>
            <w:pPr>
              <w:pStyle w:val="TableContents"/>
              <w:bidi w:val="0"/>
              <w:spacing w:before="0" w:after="283"/>
              <w:jc w:val="left"/>
              <w:rPr/>
            </w:pPr>
            <w:r>
              <w:rPr/>
              <w:t>Prepaid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2,584,417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2,211,331</w:t>
            </w:r>
          </w:p>
        </w:tc>
        <w:tc>
          <w:tcPr>
            <w:tcW w:w="110" w:type="dxa"/>
            <w:tcBorders/>
            <w:shd w:fill="CCEEFF" w:val="clear"/>
            <w:vAlign w:val="center"/>
          </w:tcPr>
          <w:p>
            <w:pPr>
              <w:pStyle w:val="TableContents"/>
              <w:bidi w:val="0"/>
              <w:spacing w:before="0" w:after="283"/>
              <w:jc w:val="left"/>
              <w:rPr/>
            </w:pPr>
            <w:r>
              <w:rPr/>
              <w:t> </w:t>
            </w:r>
            <w:bookmarkStart w:id="290" w:name="xdx_407_eus-gaap--IncreaseDecreaseInOthe"/>
            <w:bookmarkEnd w:id="290"/>
          </w:p>
        </w:tc>
      </w:tr>
      <w:tr>
        <w:trPr/>
        <w:tc>
          <w:tcPr>
            <w:tcW w:w="732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(1,265,874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(1,523,065</w:t>
            </w:r>
          </w:p>
        </w:tc>
        <w:tc>
          <w:tcPr>
            <w:tcW w:w="110" w:type="dxa"/>
            <w:tcBorders/>
            <w:shd w:fill="FFFFFF" w:val="clear"/>
            <w:vAlign w:val="center"/>
          </w:tcPr>
          <w:p>
            <w:pPr>
              <w:pStyle w:val="TableContents"/>
              <w:bidi w:val="0"/>
              <w:spacing w:before="0" w:after="283"/>
              <w:jc w:val="left"/>
              <w:rPr/>
            </w:pPr>
            <w:r>
              <w:rPr/>
              <w:t>)</w:t>
            </w:r>
            <w:bookmarkStart w:id="291" w:name="xdx_408_eus-gaap--IncreaseDecreaseInAcco"/>
            <w:bookmarkEnd w:id="291"/>
          </w:p>
        </w:tc>
      </w:tr>
      <w:tr>
        <w:trPr/>
        <w:tc>
          <w:tcPr>
            <w:tcW w:w="7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1,106,676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(7,183,648</w:t>
            </w:r>
          </w:p>
        </w:tc>
        <w:tc>
          <w:tcPr>
            <w:tcW w:w="110" w:type="dxa"/>
            <w:tcBorders/>
            <w:shd w:fill="CCEEFF" w:val="clear"/>
            <w:vAlign w:val="center"/>
          </w:tcPr>
          <w:p>
            <w:pPr>
              <w:pStyle w:val="TableContents"/>
              <w:bidi w:val="0"/>
              <w:spacing w:before="0" w:after="283"/>
              <w:jc w:val="left"/>
              <w:rPr/>
            </w:pPr>
            <w:r>
              <w:rPr/>
              <w:t>)</w:t>
            </w:r>
            <w:bookmarkStart w:id="292" w:name="xdx_400_eus-gaap--IncreaseDecreaseInAcco"/>
            <w:bookmarkEnd w:id="292"/>
          </w:p>
        </w:tc>
      </w:tr>
      <w:tr>
        <w:trPr/>
        <w:tc>
          <w:tcPr>
            <w:tcW w:w="7325"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3,473,842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(8,001,265</w:t>
            </w:r>
          </w:p>
        </w:tc>
        <w:tc>
          <w:tcPr>
            <w:tcW w:w="110" w:type="dxa"/>
            <w:tcBorders/>
            <w:shd w:fill="FFFFFF" w:val="clear"/>
            <w:vAlign w:val="center"/>
          </w:tcPr>
          <w:p>
            <w:pPr>
              <w:pStyle w:val="TableContents"/>
              <w:bidi w:val="0"/>
              <w:spacing w:before="0" w:after="283"/>
              <w:jc w:val="left"/>
              <w:rPr/>
            </w:pPr>
            <w:r>
              <w:rPr/>
              <w:t>)</w:t>
            </w:r>
            <w:bookmarkStart w:id="293" w:name="xdx_40B_eus-gaap--IncreaseDecreaseInAccr"/>
            <w:bookmarkEnd w:id="293"/>
          </w:p>
        </w:tc>
      </w:tr>
      <w:tr>
        <w:trPr/>
        <w:tc>
          <w:tcPr>
            <w:tcW w:w="7325"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46,542</w:t>
            </w:r>
          </w:p>
        </w:tc>
        <w:tc>
          <w:tcPr>
            <w:tcW w:w="110" w:type="dxa"/>
            <w:tcBorders/>
            <w:shd w:fill="CCEEFF" w:val="clear"/>
            <w:vAlign w:val="center"/>
          </w:tcPr>
          <w:p>
            <w:pPr>
              <w:pStyle w:val="TableContents"/>
              <w:bidi w:val="0"/>
              <w:spacing w:before="0" w:after="283"/>
              <w:jc w:val="left"/>
              <w:rPr/>
            </w:pPr>
            <w:r>
              <w:rPr/>
              <w:t> </w:t>
            </w:r>
            <w:bookmarkStart w:id="294" w:name="xdx_406_ecustom--IncreaseDecreaseInLoanA"/>
            <w:bookmarkEnd w:id="294"/>
          </w:p>
        </w:tc>
      </w:tr>
      <w:tr>
        <w:trPr/>
        <w:tc>
          <w:tcPr>
            <w:tcW w:w="7325" w:type="dxa"/>
            <w:tcBorders/>
            <w:shd w:fill="FFFFFF" w:val="clear"/>
            <w:vAlign w:val="center"/>
          </w:tcPr>
          <w:p>
            <w:pPr>
              <w:pStyle w:val="TableContents"/>
              <w:bidi w:val="0"/>
              <w:spacing w:before="0" w:after="283"/>
              <w:jc w:val="left"/>
              <w:rPr/>
            </w:pPr>
            <w:r>
              <w:rPr/>
              <w:t>Loan and interest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(2,005</w:t>
            </w:r>
          </w:p>
        </w:tc>
        <w:tc>
          <w:tcPr>
            <w:tcW w:w="110" w:type="dxa"/>
            <w:tcBorders/>
            <w:shd w:fill="FFFFFF" w:val="clear"/>
            <w:vAlign w:val="center"/>
          </w:tcPr>
          <w:p>
            <w:pPr>
              <w:pStyle w:val="TableContents"/>
              <w:bidi w:val="0"/>
              <w:spacing w:before="0" w:after="283"/>
              <w:jc w:val="left"/>
              <w:rPr/>
            </w:pPr>
            <w:r>
              <w:rPr/>
              <w:t>)</w:t>
            </w:r>
            <w:bookmarkStart w:id="295" w:name="xdx_407_eus-gaap--IncreaseDecreaseInOper"/>
            <w:bookmarkEnd w:id="295"/>
          </w:p>
        </w:tc>
      </w:tr>
      <w:tr>
        <w:trPr/>
        <w:tc>
          <w:tcPr>
            <w:tcW w:w="732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(266,800</w:t>
            </w:r>
          </w:p>
        </w:tc>
        <w:tc>
          <w:tcPr>
            <w:tcW w:w="110" w:type="dxa"/>
            <w:tcBorders/>
            <w:shd w:fill="CCEEFF" w:val="clear"/>
            <w:vAlign w:val="center"/>
          </w:tcPr>
          <w:p>
            <w:pPr>
              <w:pStyle w:val="TableContents"/>
              <w:bidi w:val="0"/>
              <w:spacing w:before="0" w:after="283"/>
              <w:jc w:val="left"/>
              <w:rPr/>
            </w:pPr>
            <w:r>
              <w:rPr/>
              <w:t>)</w:t>
            </w:r>
            <w:bookmarkStart w:id="296" w:name="xdx_409_eus-gaap--IncreaseDecreaseInDefe"/>
            <w:bookmarkEnd w:id="296"/>
          </w:p>
        </w:tc>
      </w:tr>
      <w:tr>
        <w:trPr/>
        <w:tc>
          <w:tcPr>
            <w:tcW w:w="732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6,615,079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(8,849,259</w:t>
            </w:r>
          </w:p>
        </w:tc>
        <w:tc>
          <w:tcPr>
            <w:tcW w:w="110" w:type="dxa"/>
            <w:tcBorders/>
            <w:shd w:fill="FFFFFF" w:val="clear"/>
            <w:vAlign w:val="center"/>
          </w:tcPr>
          <w:p>
            <w:pPr>
              <w:pStyle w:val="TableContents"/>
              <w:bidi w:val="0"/>
              <w:spacing w:before="0" w:after="283"/>
              <w:jc w:val="left"/>
              <w:rPr/>
            </w:pPr>
            <w:r>
              <w:rPr/>
              <w:t>)</w:t>
            </w:r>
            <w:bookmarkStart w:id="297" w:name="xdx_40D_eus-gaap--NetCashProvidedByUsedI"/>
            <w:bookmarkEnd w:id="297"/>
          </w:p>
        </w:tc>
      </w:tr>
      <w:tr>
        <w:trPr/>
        <w:tc>
          <w:tcPr>
            <w:tcW w:w="732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(1,153,056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(1,565,124</w:t>
            </w:r>
          </w:p>
        </w:tc>
        <w:tc>
          <w:tcPr>
            <w:tcW w:w="110" w:type="dxa"/>
            <w:tcBorders/>
            <w:shd w:fill="CCEEFF" w:val="clear"/>
            <w:vAlign w:val="center"/>
          </w:tcPr>
          <w:p>
            <w:pPr>
              <w:pStyle w:val="TableContents"/>
              <w:bidi w:val="0"/>
              <w:spacing w:before="0" w:after="283"/>
              <w:jc w:val="left"/>
              <w:rPr/>
            </w:pPr>
            <w:r>
              <w:rPr/>
              <w:t>)</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8" w:name="xdx_400_eus-gaap--NetCashProvidedByUsedI"/>
            <w:bookmarkEnd w:id="298"/>
          </w:p>
        </w:tc>
      </w:tr>
      <w:tr>
        <w:trPr/>
        <w:tc>
          <w:tcPr>
            <w:tcW w:w="732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9" w:name="xdx_402_eus-gaap--PaymentsToAcquireSoftw"/>
            <w:bookmarkEnd w:id="299"/>
          </w:p>
        </w:tc>
      </w:tr>
      <w:tr>
        <w:trPr/>
        <w:tc>
          <w:tcPr>
            <w:tcW w:w="7325" w:type="dxa"/>
            <w:tcBorders/>
            <w:shd w:fill="FFFFFF" w:val="clear"/>
            <w:vAlign w:val="center"/>
          </w:tcPr>
          <w:p>
            <w:pPr>
              <w:pStyle w:val="TableContents"/>
              <w:bidi w:val="0"/>
              <w:spacing w:before="0" w:after="283"/>
              <w:jc w:val="left"/>
              <w:rPr/>
            </w:pPr>
            <w:r>
              <w:rPr/>
              <w:t>Acquisition of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0" w:name="xdx_409_eus-gaap--PaymentsToAcquireIntan"/>
            <w:bookmarkEnd w:id="300"/>
          </w:p>
        </w:tc>
      </w:tr>
      <w:tr>
        <w:trPr/>
        <w:tc>
          <w:tcPr>
            <w:tcW w:w="7325" w:type="dxa"/>
            <w:tcBorders/>
            <w:shd w:fill="CCEEFF" w:val="clear"/>
            <w:vAlign w:val="center"/>
          </w:tcPr>
          <w:p>
            <w:pPr>
              <w:pStyle w:val="TableContents"/>
              <w:bidi w:val="0"/>
              <w:spacing w:before="0" w:after="283"/>
              <w:jc w:val="left"/>
              <w:rPr/>
            </w:pPr>
            <w:r>
              <w:rPr/>
              <w:t>Acquisition of software licenses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(4,087,896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1" w:name="xdx_40D_eus-gaap--PaymentsToAcquireInves"/>
            <w:bookmarkEnd w:id="301"/>
          </w:p>
        </w:tc>
      </w:tr>
      <w:tr>
        <w:trPr/>
        <w:tc>
          <w:tcPr>
            <w:tcW w:w="7325" w:type="dxa"/>
            <w:tcBorders/>
            <w:shd w:fill="FFFFFF" w:val="clear"/>
            <w:vAlign w:val="center"/>
          </w:tcPr>
          <w:p>
            <w:pPr>
              <w:pStyle w:val="TableContents"/>
              <w:bidi w:val="0"/>
              <w:spacing w:before="0" w:after="283"/>
              <w:jc w:val="left"/>
              <w:rPr/>
            </w:pPr>
            <w:r>
              <w:rPr/>
              <w:t>Investments in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(854,269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2" w:name="xdx_400_eus-gaap--PaymentsToAcquireBusin"/>
            <w:bookmarkEnd w:id="302"/>
          </w:p>
        </w:tc>
      </w:tr>
      <w:tr>
        <w:trPr/>
        <w:tc>
          <w:tcPr>
            <w:tcW w:w="7325" w:type="dxa"/>
            <w:tcBorders/>
            <w:shd w:fill="CCEEFF" w:val="clear"/>
            <w:vAlign w:val="center"/>
          </w:tcPr>
          <w:p>
            <w:pPr>
              <w:pStyle w:val="TableContents"/>
              <w:bidi w:val="0"/>
              <w:spacing w:before="0" w:after="283"/>
              <w:jc w:val="left"/>
              <w:rPr/>
            </w:pPr>
            <w:r>
              <w:rPr/>
              <w:t>Net cash paid for acquisition of Matrioshka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3" w:name="xdx_40C_eus-gaap--PaymentsToAcquirePrope"/>
            <w:bookmarkEnd w:id="303"/>
          </w:p>
        </w:tc>
      </w:tr>
      <w:tr>
        <w:trPr/>
        <w:tc>
          <w:tcPr>
            <w:tcW w:w="7325" w:type="dxa"/>
            <w:tcBorders/>
            <w:shd w:fill="FFFFFF" w:val="clear"/>
            <w:vAlign w:val="center"/>
          </w:tcPr>
          <w:p>
            <w:pPr>
              <w:pStyle w:val="TableContents"/>
              <w:bidi w:val="0"/>
              <w:spacing w:before="0" w:after="283"/>
              <w:jc w:val="left"/>
              <w:rPr/>
            </w:pPr>
            <w:r>
              <w:rPr/>
              <w:t>Acquisition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(15,798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4" w:name="xdx_400_eus-gaap--NetCashProvidedByUsedI"/>
            <w:bookmarkEnd w:id="304"/>
          </w:p>
        </w:tc>
      </w:tr>
      <w:tr>
        <w:trPr/>
        <w:tc>
          <w:tcPr>
            <w:tcW w:w="7325"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(5,257,682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5" w:name="xdx_405_eus-gaap--NetCashProvidedByUsedI"/>
            <w:bookmarkEnd w:id="305"/>
          </w:p>
        </w:tc>
      </w:tr>
      <w:tr>
        <w:trPr/>
        <w:tc>
          <w:tcPr>
            <w:tcW w:w="732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6" w:name="xdx_406_ecustom--RepaymentsOnPromissoryN"/>
            <w:bookmarkEnd w:id="306"/>
          </w:p>
        </w:tc>
      </w:tr>
      <w:tr>
        <w:trPr/>
        <w:tc>
          <w:tcPr>
            <w:tcW w:w="7325" w:type="dxa"/>
            <w:tcBorders/>
            <w:shd w:fill="FFFFFF" w:val="clear"/>
            <w:vAlign w:val="center"/>
          </w:tcPr>
          <w:p>
            <w:pPr>
              <w:pStyle w:val="TableContents"/>
              <w:bidi w:val="0"/>
              <w:spacing w:before="0" w:after="283"/>
              <w:jc w:val="left"/>
              <w:rPr/>
            </w:pPr>
            <w:r>
              <w:rPr/>
              <w:t>Repayments on promissory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(89,374</w:t>
            </w:r>
          </w:p>
        </w:tc>
        <w:tc>
          <w:tcPr>
            <w:tcW w:w="110" w:type="dxa"/>
            <w:tcBorders/>
            <w:shd w:fill="FFFFFF" w:val="clear"/>
            <w:vAlign w:val="center"/>
          </w:tcPr>
          <w:p>
            <w:pPr>
              <w:pStyle w:val="TableContents"/>
              <w:bidi w:val="0"/>
              <w:spacing w:before="0" w:after="283"/>
              <w:jc w:val="left"/>
              <w:rPr/>
            </w:pPr>
            <w:r>
              <w:rPr/>
              <w:t>)</w:t>
            </w:r>
            <w:bookmarkStart w:id="307" w:name="xdx_400_eus-gaap--RepaymentsOfNotesPayab"/>
            <w:bookmarkEnd w:id="307"/>
          </w:p>
        </w:tc>
      </w:tr>
      <w:tr>
        <w:trPr/>
        <w:tc>
          <w:tcPr>
            <w:tcW w:w="7325" w:type="dxa"/>
            <w:tcBorders/>
            <w:shd w:fill="CCEEFF" w:val="clear"/>
            <w:vAlign w:val="center"/>
          </w:tcPr>
          <w:p>
            <w:pPr>
              <w:pStyle w:val="TableContents"/>
              <w:bidi w:val="0"/>
              <w:spacing w:before="0" w:after="283"/>
              <w:jc w:val="left"/>
              <w:rPr/>
            </w:pPr>
            <w:r>
              <w:rPr/>
              <w:t>Repayments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(624,131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(2,333,333</w:t>
            </w:r>
          </w:p>
        </w:tc>
        <w:tc>
          <w:tcPr>
            <w:tcW w:w="110" w:type="dxa"/>
            <w:tcBorders/>
            <w:shd w:fill="CCEEFF" w:val="clear"/>
            <w:vAlign w:val="center"/>
          </w:tcPr>
          <w:p>
            <w:pPr>
              <w:pStyle w:val="TableContents"/>
              <w:bidi w:val="0"/>
              <w:spacing w:before="0" w:after="283"/>
              <w:jc w:val="left"/>
              <w:rPr/>
            </w:pPr>
            <w:r>
              <w:rPr/>
              <w:t>)</w:t>
            </w:r>
            <w:bookmarkStart w:id="308" w:name="xdx_40A_eus-gaap--RepaymentsOfConvertibl"/>
            <w:bookmarkEnd w:id="308"/>
          </w:p>
        </w:tc>
      </w:tr>
      <w:tr>
        <w:trPr/>
        <w:tc>
          <w:tcPr>
            <w:tcW w:w="7325" w:type="dxa"/>
            <w:tcBorders/>
            <w:shd w:fill="FFFFFF" w:val="clear"/>
            <w:vAlign w:val="center"/>
          </w:tcPr>
          <w:p>
            <w:pPr>
              <w:pStyle w:val="TableContents"/>
              <w:bidi w:val="0"/>
              <w:spacing w:before="0" w:after="283"/>
              <w:jc w:val="left"/>
              <w:rPr/>
            </w:pPr>
            <w:r>
              <w:rPr/>
              <w:t>Repayments on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(2,303,527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(1,020,000</w:t>
            </w:r>
          </w:p>
        </w:tc>
        <w:tc>
          <w:tcPr>
            <w:tcW w:w="110" w:type="dxa"/>
            <w:tcBorders/>
            <w:shd w:fill="FFFFFF" w:val="clear"/>
            <w:vAlign w:val="center"/>
          </w:tcPr>
          <w:p>
            <w:pPr>
              <w:pStyle w:val="TableContents"/>
              <w:bidi w:val="0"/>
              <w:spacing w:before="0" w:after="283"/>
              <w:jc w:val="left"/>
              <w:rPr/>
            </w:pPr>
            <w:r>
              <w:rPr/>
              <w:t>)</w:t>
            </w:r>
            <w:bookmarkStart w:id="309" w:name="xdx_40D_eus-gaap--RepaymentsOfLinesOfCre"/>
            <w:bookmarkEnd w:id="309"/>
          </w:p>
        </w:tc>
      </w:tr>
      <w:tr>
        <w:trPr/>
        <w:tc>
          <w:tcPr>
            <w:tcW w:w="7325" w:type="dxa"/>
            <w:tcBorders/>
            <w:shd w:fill="CCEEFF" w:val="clear"/>
            <w:vAlign w:val="center"/>
          </w:tcPr>
          <w:p>
            <w:pPr>
              <w:pStyle w:val="TableContents"/>
              <w:bidi w:val="0"/>
              <w:spacing w:before="0" w:after="283"/>
              <w:jc w:val="left"/>
              <w:rPr/>
            </w:pPr>
            <w:r>
              <w:rPr/>
              <w:t>Repayments on revolving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w:t>
            </w:r>
            <w:bookmarkStart w:id="310" w:name="xdx_40F_ecustom--ProceedsFromRevolvingLo"/>
            <w:bookmarkEnd w:id="310"/>
          </w:p>
        </w:tc>
      </w:tr>
      <w:tr>
        <w:trPr/>
        <w:tc>
          <w:tcPr>
            <w:tcW w:w="7325" w:type="dxa"/>
            <w:tcBorders/>
            <w:shd w:fill="FFFFFF" w:val="clear"/>
            <w:vAlign w:val="center"/>
          </w:tcPr>
          <w:p>
            <w:pPr>
              <w:pStyle w:val="TableContents"/>
              <w:bidi w:val="0"/>
              <w:spacing w:before="0" w:after="283"/>
              <w:jc w:val="left"/>
              <w:rPr/>
            </w:pPr>
            <w:r>
              <w:rPr/>
              <w:t>Borrowings on 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1" w:name="xdx_404_eus-gaap--ProceedsFromShortTermD"/>
            <w:bookmarkEnd w:id="311"/>
          </w:p>
        </w:tc>
      </w:tr>
      <w:tr>
        <w:trPr/>
        <w:tc>
          <w:tcPr>
            <w:tcW w:w="7325" w:type="dxa"/>
            <w:tcBorders/>
            <w:shd w:fill="CCEEFF" w:val="clear"/>
            <w:vAlign w:val="center"/>
          </w:tcPr>
          <w:p>
            <w:pPr>
              <w:pStyle w:val="TableContents"/>
              <w:bidi w:val="0"/>
              <w:spacing w:before="0" w:after="283"/>
              <w:jc w:val="left"/>
              <w:rPr/>
            </w:pPr>
            <w:r>
              <w:rPr/>
              <w:t>Borrowings on term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12" w:name="xdx_408_eus-gaap--ProceedsFromWarrantExe"/>
            <w:bookmarkEnd w:id="312"/>
          </w:p>
        </w:tc>
      </w:tr>
      <w:tr>
        <w:trPr/>
        <w:tc>
          <w:tcPr>
            <w:tcW w:w="7325" w:type="dxa"/>
            <w:tcBorders/>
            <w:shd w:fill="FFFFFF" w:val="clear"/>
            <w:vAlign w:val="center"/>
          </w:tcPr>
          <w:p>
            <w:pPr>
              <w:pStyle w:val="TableContents"/>
              <w:bidi w:val="0"/>
              <w:spacing w:before="0" w:after="283"/>
              <w:jc w:val="left"/>
              <w:rPr/>
            </w:pPr>
            <w:r>
              <w:rPr/>
              <w:t>Cash proceeds from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220,000</w:t>
            </w:r>
          </w:p>
        </w:tc>
        <w:tc>
          <w:tcPr>
            <w:tcW w:w="110" w:type="dxa"/>
            <w:tcBorders/>
            <w:shd w:fill="FFFFFF" w:val="clear"/>
            <w:vAlign w:val="center"/>
          </w:tcPr>
          <w:p>
            <w:pPr>
              <w:pStyle w:val="TableContents"/>
              <w:bidi w:val="0"/>
              <w:spacing w:before="0" w:after="283"/>
              <w:jc w:val="left"/>
              <w:rPr/>
            </w:pPr>
            <w:r>
              <w:rPr/>
              <w:t> </w:t>
            </w:r>
            <w:bookmarkStart w:id="313" w:name="xdx_405_eus-gaap--ProceedsFromIssuanceOf"/>
            <w:bookmarkEnd w:id="313"/>
          </w:p>
        </w:tc>
      </w:tr>
      <w:tr>
        <w:trPr/>
        <w:tc>
          <w:tcPr>
            <w:tcW w:w="7325" w:type="dxa"/>
            <w:tcBorders/>
            <w:shd w:fill="CCEEFF" w:val="clear"/>
            <w:vAlign w:val="center"/>
          </w:tcPr>
          <w:p>
            <w:pPr>
              <w:pStyle w:val="TableContents"/>
              <w:bidi w:val="0"/>
              <w:spacing w:before="0" w:after="283"/>
              <w:jc w:val="left"/>
              <w:rPr/>
            </w:pPr>
            <w:r>
              <w:rPr/>
              <w:t>Proceeds on issuance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14" w:name="xdx_400_eus-gaap--PaymentsOfLoanCosts_i0"/>
            <w:bookmarkEnd w:id="314"/>
          </w:p>
        </w:tc>
      </w:tr>
      <w:tr>
        <w:trPr/>
        <w:tc>
          <w:tcPr>
            <w:tcW w:w="7325" w:type="dxa"/>
            <w:tcBorders/>
            <w:shd w:fill="FFFFFF" w:val="clear"/>
            <w:vAlign w:val="center"/>
          </w:tcPr>
          <w:p>
            <w:pPr>
              <w:pStyle w:val="TableContents"/>
              <w:bidi w:val="0"/>
              <w:spacing w:before="0" w:after="283"/>
              <w:jc w:val="left"/>
              <w:rPr/>
            </w:pPr>
            <w:r>
              <w:rPr/>
              <w:t>Payments of loan origination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5" w:name="xdx_408_ecustom--PaymentsOfOfferingCosts"/>
            <w:bookmarkEnd w:id="315"/>
          </w:p>
        </w:tc>
      </w:tr>
      <w:tr>
        <w:trPr/>
        <w:tc>
          <w:tcPr>
            <w:tcW w:w="7325" w:type="dxa"/>
            <w:tcBorders/>
            <w:shd w:fill="CCEEFF" w:val="clear"/>
            <w:vAlign w:val="center"/>
          </w:tcPr>
          <w:p>
            <w:pPr>
              <w:pStyle w:val="TableContents"/>
              <w:bidi w:val="0"/>
              <w:spacing w:before="0" w:after="283"/>
              <w:jc w:val="left"/>
              <w:rPr/>
            </w:pPr>
            <w:r>
              <w:rPr/>
              <w:t>Payments of offering costs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(262,914</w:t>
            </w:r>
          </w:p>
        </w:tc>
        <w:tc>
          <w:tcPr>
            <w:tcW w:w="110" w:type="dxa"/>
            <w:tcBorders/>
            <w:shd w:fill="CCEEFF" w:val="clear"/>
            <w:vAlign w:val="center"/>
          </w:tcPr>
          <w:p>
            <w:pPr>
              <w:pStyle w:val="TableContents"/>
              <w:bidi w:val="0"/>
              <w:spacing w:before="0" w:after="283"/>
              <w:jc w:val="left"/>
              <w:rPr/>
            </w:pPr>
            <w:r>
              <w:rPr/>
              <w:t>)</w:t>
            </w:r>
            <w:bookmarkStart w:id="316" w:name="xdx_405_eus-gaap--NetCashProvidedByUsedI"/>
            <w:bookmarkEnd w:id="316"/>
          </w:p>
        </w:tc>
      </w:tr>
      <w:tr>
        <w:trPr/>
        <w:tc>
          <w:tcPr>
            <w:tcW w:w="7325"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8,705,592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(6,485,621</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7" w:name="xdx_40F_eus-gaap--EffectOfExchangeRateOn"/>
            <w:bookmarkEnd w:id="317"/>
          </w:p>
        </w:tc>
      </w:tr>
      <w:tr>
        <w:trPr/>
        <w:tc>
          <w:tcPr>
            <w:tcW w:w="7325"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(24,630</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8" w:name="xdx_402_eus-gaap--CashCashEquivalentsRes"/>
            <w:bookmarkEnd w:id="318"/>
          </w:p>
        </w:tc>
      </w:tr>
      <w:tr>
        <w:trPr/>
        <w:tc>
          <w:tcPr>
            <w:tcW w:w="7325" w:type="dxa"/>
            <w:tcBorders/>
            <w:shd w:fill="FFFFFF" w:val="clear"/>
            <w:vAlign w:val="center"/>
          </w:tcPr>
          <w:p>
            <w:pPr>
              <w:pStyle w:val="TableContents"/>
              <w:bidi w:val="0"/>
              <w:spacing w:before="0" w:after="283"/>
              <w:jc w:val="left"/>
              <w:rPr/>
            </w:pPr>
            <w:r>
              <w:rPr/>
              <w:t>Net increase (decrease) in cash and cash equivalents, and 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2,264,220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(8,075,375</w:t>
            </w:r>
          </w:p>
        </w:tc>
        <w:tc>
          <w:tcPr>
            <w:tcW w:w="110" w:type="dxa"/>
            <w:tcBorders/>
            <w:shd w:fill="FFFFFF" w:val="clear"/>
            <w:vAlign w:val="center"/>
          </w:tcPr>
          <w:p>
            <w:pPr>
              <w:pStyle w:val="TableContents"/>
              <w:bidi w:val="0"/>
              <w:spacing w:before="0" w:after="283"/>
              <w:jc w:val="left"/>
              <w:rPr/>
            </w:pPr>
            <w:r>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9" w:name="xdx_40E_eus-gaap--CashCashEquivalentsRes"/>
            <w:bookmarkEnd w:id="319"/>
          </w:p>
        </w:tc>
      </w:tr>
      <w:tr>
        <w:trPr/>
        <w:tc>
          <w:tcPr>
            <w:tcW w:w="7325" w:type="dxa"/>
            <w:tcBorders/>
            <w:shd w:fill="FFFFFF" w:val="clear"/>
            <w:vAlign w:val="center"/>
          </w:tcPr>
          <w:p>
            <w:pPr>
              <w:pStyle w:val="TableContents"/>
              <w:bidi w:val="0"/>
              <w:spacing w:before="0" w:after="283"/>
              <w:jc w:val="left"/>
              <w:rPr/>
            </w:pPr>
            <w:r>
              <w:rPr/>
              <w:t>Cash and cash equivalents, and restricted cash and cash equivalents – beginning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8,238,944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16,314,319</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0" w:name="xdx_404_eus-gaap--CashCashEquivalentsRes"/>
            <w:bookmarkEnd w:id="320"/>
          </w:p>
        </w:tc>
      </w:tr>
      <w:tr>
        <w:trPr/>
        <w:tc>
          <w:tcPr>
            <w:tcW w:w="7325" w:type="dxa"/>
            <w:tcBorders/>
            <w:shd w:fill="FFFFFF" w:val="clear"/>
            <w:vAlign w:val="center"/>
          </w:tcPr>
          <w:p>
            <w:pPr>
              <w:pStyle w:val="TableContents"/>
              <w:bidi w:val="0"/>
              <w:spacing w:before="0" w:after="283"/>
              <w:jc w:val="left"/>
              <w:rPr>
                <w:b/>
              </w:rPr>
            </w:pPr>
            <w:r>
              <w:rPr>
                <w:b/>
              </w:rPr>
              <w:t>Cash and cash equivalents, and restricted cash and cash equivalents –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10,503,164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8,238,944</w:t>
            </w:r>
          </w:p>
        </w:tc>
        <w:tc>
          <w:tcPr>
            <w:tcW w:w="110"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1" w:name="xdx_408_eus-gaap--SupplementalCashFlowIn"/>
            <w:bookmarkEnd w:id="321"/>
          </w:p>
        </w:tc>
      </w:tr>
      <w:tr>
        <w:trPr/>
        <w:tc>
          <w:tcPr>
            <w:tcW w:w="7325"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2" w:name="xdx_405_ecustom--CashPaidDuringPeriodFor"/>
            <w:bookmarkEnd w:id="322"/>
          </w:p>
        </w:tc>
      </w:tr>
      <w:tr>
        <w:trPr/>
        <w:tc>
          <w:tcPr>
            <w:tcW w:w="7325" w:type="dxa"/>
            <w:tcBorders/>
            <w:shd w:fill="CCEEFF" w:val="clear"/>
            <w:vAlign w:val="center"/>
          </w:tcPr>
          <w:p>
            <w:pPr>
              <w:pStyle w:val="TableContents"/>
              <w:bidi w:val="0"/>
              <w:spacing w:before="0" w:after="283"/>
              <w:jc w:val="left"/>
              <w:rPr>
                <w:b/>
              </w:rPr>
            </w:pPr>
            <w:r>
              <w:rPr>
                <w:b/>
              </w:rPr>
              <w:t>Cash paid during the year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3" w:name="xdx_40A_eus-gaap--InterestPaidNet_i02_zu"/>
            <w:bookmarkEnd w:id="323"/>
          </w:p>
        </w:tc>
      </w:tr>
      <w:tr>
        <w:trPr/>
        <w:tc>
          <w:tcPr>
            <w:tcW w:w="732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617,246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467,188</w:t>
            </w:r>
          </w:p>
        </w:tc>
        <w:tc>
          <w:tcPr>
            <w:tcW w:w="110" w:type="dxa"/>
            <w:tcBorders/>
            <w:shd w:fill="FFFFFF" w:val="clear"/>
            <w:vAlign w:val="center"/>
          </w:tcPr>
          <w:p>
            <w:pPr>
              <w:pStyle w:val="TableContents"/>
              <w:bidi w:val="0"/>
              <w:spacing w:before="0" w:after="283"/>
              <w:jc w:val="left"/>
              <w:rPr/>
            </w:pPr>
            <w:r>
              <w:rPr/>
              <w:t> </w:t>
            </w:r>
            <w:bookmarkStart w:id="324" w:name="xdx_408_eus-gaap--IncomeTaxesPaidNet_i02"/>
            <w:bookmarkEnd w:id="324"/>
          </w:p>
        </w:tc>
      </w:tr>
      <w:tr>
        <w:trPr/>
        <w:tc>
          <w:tcPr>
            <w:tcW w:w="732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(2,859,830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(1,100,302</w:t>
            </w:r>
          </w:p>
        </w:tc>
        <w:tc>
          <w:tcPr>
            <w:tcW w:w="110" w:type="dxa"/>
            <w:tcBorders/>
            <w:shd w:fill="CCEEFF" w:val="clear"/>
            <w:vAlign w:val="center"/>
          </w:tcPr>
          <w:p>
            <w:pPr>
              <w:pStyle w:val="TableContents"/>
              <w:bidi w:val="0"/>
              <w:spacing w:before="0" w:after="283"/>
              <w:jc w:val="left"/>
              <w:rPr/>
            </w:pPr>
            <w:r>
              <w:rPr/>
              <w:t>)</w:t>
            </w:r>
            <w:bookmarkStart w:id="325" w:name="xdx_40D_ecustom--CashFlowTransactionsDur"/>
            <w:bookmarkEnd w:id="325"/>
          </w:p>
        </w:tc>
      </w:tr>
      <w:tr>
        <w:trPr/>
        <w:tc>
          <w:tcPr>
            <w:tcW w:w="7325" w:type="dxa"/>
            <w:tcBorders/>
            <w:shd w:fill="FFFFFF" w:val="clear"/>
            <w:vAlign w:val="center"/>
          </w:tcPr>
          <w:p>
            <w:pPr>
              <w:pStyle w:val="TableContents"/>
              <w:bidi w:val="0"/>
              <w:spacing w:before="0" w:after="283"/>
              <w:jc w:val="left"/>
              <w:rPr>
                <w:b/>
              </w:rPr>
            </w:pPr>
            <w:r>
              <w:rPr>
                <w:b/>
              </w:rPr>
              <w:t>Noncash transactions during the year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6" w:name="xdx_407_ecustom--ChangeInFairValueOfNote"/>
            <w:bookmarkEnd w:id="326"/>
          </w:p>
        </w:tc>
      </w:tr>
      <w:tr>
        <w:trPr/>
        <w:tc>
          <w:tcPr>
            <w:tcW w:w="7325" w:type="dxa"/>
            <w:tcBorders/>
            <w:shd w:fill="CCEEFF" w:val="clear"/>
            <w:vAlign w:val="center"/>
          </w:tcPr>
          <w:p>
            <w:pPr>
              <w:pStyle w:val="TableContents"/>
              <w:bidi w:val="0"/>
              <w:spacing w:before="0" w:after="283"/>
              <w:jc w:val="left"/>
              <w:rPr/>
            </w:pPr>
            <w:r>
              <w:rPr/>
              <w:t>Change in fair value of notes recorded in 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21,297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27" w:name="xdx_40D_ecustom--DebtConvertedToEquity_i"/>
            <w:bookmarkEnd w:id="327"/>
          </w:p>
        </w:tc>
      </w:tr>
      <w:tr>
        <w:trPr/>
        <w:tc>
          <w:tcPr>
            <w:tcW w:w="7325" w:type="dxa"/>
            <w:tcBorders/>
            <w:shd w:fill="FFFFFF" w:val="clear"/>
            <w:vAlign w:val="center"/>
          </w:tcPr>
          <w:p>
            <w:pPr>
              <w:pStyle w:val="TableContents"/>
              <w:bidi w:val="0"/>
              <w:spacing w:before="0" w:after="283"/>
              <w:jc w:val="left"/>
              <w:rPr/>
            </w:pPr>
            <w:r>
              <w:rPr/>
              <w:t>Debt converted to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(331,500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(60,000</w:t>
            </w:r>
          </w:p>
        </w:tc>
        <w:tc>
          <w:tcPr>
            <w:tcW w:w="110" w:type="dxa"/>
            <w:tcBorders/>
            <w:shd w:fill="FFFFFF" w:val="clear"/>
            <w:vAlign w:val="center"/>
          </w:tcPr>
          <w:p>
            <w:pPr>
              <w:pStyle w:val="TableContents"/>
              <w:bidi w:val="0"/>
              <w:spacing w:before="0" w:after="283"/>
              <w:jc w:val="left"/>
              <w:rPr/>
            </w:pPr>
            <w:r>
              <w:rPr/>
              <w:t>)</w:t>
            </w:r>
            <w:bookmarkStart w:id="328" w:name="xdx_40D_eus-gaap--RightOfUseAssetObtaine"/>
            <w:bookmarkEnd w:id="328"/>
          </w:p>
        </w:tc>
      </w:tr>
      <w:tr>
        <w:trPr/>
        <w:tc>
          <w:tcPr>
            <w:tcW w:w="7325" w:type="dxa"/>
            <w:tcBorders/>
            <w:shd w:fill="CCEEFF" w:val="clear"/>
            <w:vAlign w:val="center"/>
          </w:tcPr>
          <w:p>
            <w:pPr>
              <w:pStyle w:val="TableContents"/>
              <w:bidi w:val="0"/>
              <w:spacing w:before="0" w:after="283"/>
              <w:jc w:val="left"/>
              <w:rPr/>
            </w:pPr>
            <w:r>
              <w:rPr/>
              <w:t>Right-of-use assets obtained in exchange for a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(4,709,564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(85,588</w:t>
            </w:r>
          </w:p>
        </w:tc>
        <w:tc>
          <w:tcPr>
            <w:tcW w:w="110" w:type="dxa"/>
            <w:tcBorders/>
            <w:shd w:fill="CCEEFF" w:val="clear"/>
            <w:vAlign w:val="center"/>
          </w:tcPr>
          <w:p>
            <w:pPr>
              <w:pStyle w:val="TableContents"/>
              <w:bidi w:val="0"/>
              <w:spacing w:before="0" w:after="283"/>
              <w:jc w:val="left"/>
              <w:rPr/>
            </w:pPr>
            <w:r>
              <w:rPr/>
              <w:t>)</w:t>
            </w:r>
            <w:bookmarkStart w:id="329" w:name="xdx_40C_ecustom--LiabilitiesConvertedToE"/>
            <w:bookmarkEnd w:id="329"/>
          </w:p>
        </w:tc>
      </w:tr>
      <w:tr>
        <w:trPr/>
        <w:tc>
          <w:tcPr>
            <w:tcW w:w="7325" w:type="dxa"/>
            <w:tcBorders/>
            <w:shd w:fill="FFFFFF" w:val="clear"/>
            <w:vAlign w:val="center"/>
          </w:tcPr>
          <w:p>
            <w:pPr>
              <w:pStyle w:val="TableContents"/>
              <w:bidi w:val="0"/>
              <w:spacing w:before="0" w:after="283"/>
              <w:jc w:val="left"/>
              <w:rPr/>
            </w:pPr>
            <w:r>
              <w:rPr/>
              <w:t>Liabilities converted to equity upon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323,113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176,750</w:t>
            </w:r>
          </w:p>
        </w:tc>
        <w:tc>
          <w:tcPr>
            <w:tcW w:w="110" w:type="dxa"/>
            <w:tcBorders/>
            <w:shd w:fill="FFFFFF" w:val="clear"/>
            <w:vAlign w:val="center"/>
          </w:tcPr>
          <w:p>
            <w:pPr>
              <w:pStyle w:val="TableContents"/>
              <w:bidi w:val="0"/>
              <w:spacing w:before="0" w:after="283"/>
              <w:jc w:val="left"/>
              <w:rPr/>
            </w:pPr>
            <w:r>
              <w:rPr/>
              <w:t> </w:t>
            </w:r>
            <w:bookmarkStart w:id="330" w:name="xdx_40F_ecustom--AcquisitionOfSoftwareIn"/>
            <w:bookmarkEnd w:id="330"/>
          </w:p>
        </w:tc>
      </w:tr>
      <w:tr>
        <w:trPr/>
        <w:tc>
          <w:tcPr>
            <w:tcW w:w="7325" w:type="dxa"/>
            <w:tcBorders/>
            <w:shd w:fill="CCEEFF" w:val="clear"/>
            <w:vAlign w:val="center"/>
          </w:tcPr>
          <w:p>
            <w:pPr>
              <w:pStyle w:val="TableContents"/>
              <w:bidi w:val="0"/>
              <w:spacing w:before="0" w:after="283"/>
              <w:jc w:val="left"/>
              <w:rPr/>
            </w:pPr>
            <w:r>
              <w:rPr/>
              <w:t>Acquisition of software in 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290,000</w:t>
            </w:r>
          </w:p>
        </w:tc>
        <w:tc>
          <w:tcPr>
            <w:tcW w:w="110" w:type="dxa"/>
            <w:tcBorders/>
            <w:shd w:fill="CCEEFF" w:val="clear"/>
            <w:vAlign w:val="center"/>
          </w:tcPr>
          <w:p>
            <w:pPr>
              <w:pStyle w:val="TableContents"/>
              <w:bidi w:val="0"/>
              <w:spacing w:before="0" w:after="283"/>
              <w:jc w:val="left"/>
              <w:rPr/>
            </w:pPr>
            <w:r>
              <w:rPr/>
              <w:t> </w:t>
            </w:r>
            <w:bookmarkStart w:id="331" w:name="xdx_401_ecustom--AcquisitionOfSoftwareAn"/>
            <w:bookmarkEnd w:id="331"/>
          </w:p>
        </w:tc>
      </w:tr>
      <w:tr>
        <w:trPr/>
        <w:tc>
          <w:tcPr>
            <w:tcW w:w="7325" w:type="dxa"/>
            <w:tcBorders/>
            <w:shd w:fill="FFFFFF" w:val="clear"/>
            <w:vAlign w:val="center"/>
          </w:tcPr>
          <w:p>
            <w:pPr>
              <w:pStyle w:val="TableContents"/>
              <w:bidi w:val="0"/>
              <w:spacing w:before="0" w:after="283"/>
              <w:jc w:val="left"/>
              <w:rPr/>
            </w:pPr>
            <w:r>
              <w:rPr/>
              <w:t>Acquisition of software and software licenses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420,000</w:t>
            </w:r>
          </w:p>
        </w:tc>
        <w:tc>
          <w:tcPr>
            <w:tcW w:w="110" w:type="dxa"/>
            <w:tcBorders/>
            <w:shd w:fill="FFFFFF" w:val="clear"/>
            <w:vAlign w:val="center"/>
          </w:tcPr>
          <w:p>
            <w:pPr>
              <w:pStyle w:val="TableContents"/>
              <w:bidi w:val="0"/>
              <w:spacing w:before="0" w:after="283"/>
              <w:jc w:val="left"/>
              <w:rPr/>
            </w:pPr>
            <w:r>
              <w:rPr/>
              <w:t> </w:t>
            </w:r>
            <w:bookmarkStart w:id="332" w:name="xdx_409_eus-gaap--FairValueOfAssetsAcqui"/>
            <w:bookmarkEnd w:id="332"/>
          </w:p>
        </w:tc>
      </w:tr>
      <w:tr>
        <w:trPr/>
        <w:tc>
          <w:tcPr>
            <w:tcW w:w="7325" w:type="dxa"/>
            <w:tcBorders/>
            <w:shd w:fill="CCEEFF" w:val="clear"/>
            <w:vAlign w:val="center"/>
          </w:tcPr>
          <w:p>
            <w:pPr>
              <w:pStyle w:val="TableContents"/>
              <w:bidi w:val="0"/>
              <w:spacing w:before="0" w:after="283"/>
              <w:jc w:val="left"/>
              <w:rPr/>
            </w:pPr>
            <w:r>
              <w:rPr/>
              <w:t>Net assets acquired in a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33" w:name="xdx_40A_ecustom--AcquisitionOfSoftwareLi"/>
            <w:bookmarkEnd w:id="333"/>
          </w:p>
        </w:tc>
      </w:tr>
      <w:tr>
        <w:trPr/>
        <w:tc>
          <w:tcPr>
            <w:tcW w:w="7325" w:type="dxa"/>
            <w:tcBorders/>
            <w:shd w:fill="FFFFFF" w:val="clear"/>
            <w:vAlign w:val="center"/>
          </w:tcPr>
          <w:p>
            <w:pPr>
              <w:pStyle w:val="TableContents"/>
              <w:bidi w:val="0"/>
              <w:spacing w:before="0" w:after="283"/>
              <w:jc w:val="left"/>
              <w:rPr/>
            </w:pPr>
            <w:r>
              <w:rPr/>
              <w:t>Acquisition of software licenses in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34" w:name="xdx_40C_ecustom--AcquisitionOfSoftwareLi"/>
            <w:bookmarkEnd w:id="334"/>
          </w:p>
        </w:tc>
      </w:tr>
      <w:tr>
        <w:trPr/>
        <w:tc>
          <w:tcPr>
            <w:tcW w:w="7325" w:type="dxa"/>
            <w:tcBorders/>
            <w:shd w:fill="CCEEFF" w:val="clear"/>
            <w:vAlign w:val="center"/>
          </w:tcPr>
          <w:p>
            <w:pPr>
              <w:pStyle w:val="TableContents"/>
              <w:bidi w:val="0"/>
              <w:spacing w:before="0" w:after="283"/>
              <w:jc w:val="left"/>
              <w:rPr/>
            </w:pPr>
            <w:r>
              <w:rPr/>
              <w:t>Acquisition of software license paid in prior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5" w:name="an_006"/>
      <w:bookmarkEnd w:id="335"/>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6" w:name="xdx_805_eus-gaap--OrganizationConsolidat"/>
      <w:bookmarkEnd w:id="336"/>
      <w:r>
        <w:rPr>
          <w:rFonts w:ascii="Times New Roman;Times;Serif" w:hAnsi="Times New Roman;Times;Serif"/>
          <w:b/>
          <w:i w:val="false"/>
          <w:caps w:val="false"/>
          <w:smallCaps w:val="false"/>
          <w:sz w:val="20"/>
        </w:rPr>
        <w:t xml:space="preserve">NOTE 1 – </w:t>
      </w:r>
      <w:bookmarkStart w:id="337" w:name="xdx_821_zJmyo2vPgj33"/>
      <w:bookmarkEnd w:id="337"/>
      <w:r>
        <w:rPr>
          <w:rFonts w:ascii="Times New Roman;Times;Serif" w:hAnsi="Times New Roman;Times;Serif"/>
          <w:b/>
          <w:i w:val="false"/>
          <w:caps w:val="false"/>
          <w:smallCaps w:val="false"/>
          <w:sz w:val="20"/>
        </w:rPr>
        <w:t>PRESENTATION AND NATURE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the rules and regulations of the SEC and generally accepted accounting principles as promulgated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8" w:name="xdx_89F_ecustom--ScheduleOfEquityInteres"/>
      <w:bookmarkEnd w:id="338"/>
      <w:r>
        <w:rPr>
          <w:rFonts w:ascii="Times New Roman;Times;Serif" w:hAnsi="Times New Roman;Times;Serif"/>
          <w:b w:val="false"/>
          <w:i w:val="false"/>
          <w:caps w:val="false"/>
          <w:smallCaps w:val="false"/>
          <w:sz w:val="20"/>
        </w:rPr>
        <w:t>The Consolidated Financial Statements include the accounts of Snail, Inc. and the following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39" w:name="xdx_8BA_zWgoOrkOzHA"/>
      <w:bookmarkEnd w:id="339"/>
      <w:r>
        <w:rPr>
          <w:rFonts w:ascii="Times New Roman;Times;Serif" w:hAnsi="Times New Roman;Times;Serif"/>
          <w:b w:val="false"/>
          <w:i w:val="false"/>
          <w:caps w:val="false"/>
          <w:smallCaps w:val="false"/>
          <w:sz w:val="20"/>
        </w:rPr>
        <w:t>SCHEDULE OF SUBSIDIARIES INCLUDED IN THE CONSOLIDATED FINANCIAL STATEMENTS  </w:t>
      </w:r>
    </w:p>
    <w:tbl>
      <w:tblPr>
        <w:tblW w:w="4409" w:type="dxa"/>
        <w:jc w:val="left"/>
        <w:tblInd w:w="0" w:type="dxa"/>
        <w:tblLayout w:type="fixed"/>
        <w:tblCellMar>
          <w:top w:w="0" w:type="dxa"/>
          <w:left w:w="0" w:type="dxa"/>
          <w:bottom w:w="0" w:type="dxa"/>
          <w:right w:w="0" w:type="dxa"/>
        </w:tblCellMar>
      </w:tblPr>
      <w:tblGrid>
        <w:gridCol w:w="3110"/>
        <w:gridCol w:w="60"/>
        <w:gridCol w:w="136"/>
        <w:gridCol w:w="873"/>
        <w:gridCol w:w="23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Equity %</w:t>
            </w:r>
          </w:p>
        </w:tc>
        <w:tc>
          <w:tcPr>
            <w:tcW w:w="230"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center"/>
              <w:rPr>
                <w:b/>
              </w:rPr>
            </w:pPr>
            <w:r>
              <w:rPr>
                <w:b/>
              </w:rPr>
              <w:t>Subsidiary Name</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Snail Games USA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0" w:name="xdx_982_eus-gaap--EquityMethodInvestment"/>
            <w:bookmarkEnd w:id="340"/>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Innovation Institute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1" w:name="xdx_98F_eus-gaap--EquityMethodInvestment"/>
            <w:bookmarkEnd w:id="341"/>
          </w:p>
        </w:tc>
        <w:tc>
          <w:tcPr>
            <w:tcW w:w="873"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Frostkeep Studios, Inc.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2" w:name="xdx_981_eus-gaap--EquityMethodInvestment"/>
            <w:bookmarkEnd w:id="342"/>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Eminence Corp</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3" w:name="xdx_983_eus-gaap--EquityMethodInvestment"/>
            <w:bookmarkEnd w:id="343"/>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Wandering Wizard,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4" w:name="xdx_980_eus-gaap--EquityMethodInvestment"/>
            <w:bookmarkEnd w:id="344"/>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Donkey Crew,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5" w:name="xdx_982_eus-gaap--EquityMethodInvestment"/>
            <w:bookmarkEnd w:id="345"/>
          </w:p>
        </w:tc>
        <w:tc>
          <w:tcPr>
            <w:tcW w:w="873" w:type="dxa"/>
            <w:tcBorders/>
            <w:shd w:fill="FFFFFF" w:val="clear"/>
            <w:vAlign w:val="center"/>
          </w:tcPr>
          <w:p>
            <w:pPr>
              <w:pStyle w:val="TableContents"/>
              <w:bidi w:val="0"/>
              <w:spacing w:before="0" w:after="283"/>
              <w:jc w:val="right"/>
              <w:rPr/>
            </w:pPr>
            <w:r>
              <w:rPr/>
              <w:t>99</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Interactive Films,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6" w:name="xdx_982_eus-gaap--EquityMethodInvestment"/>
            <w:bookmarkEnd w:id="346"/>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Project AWK Productions,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7" w:name="xdx_98D_eus-gaap--EquityMethodInvestment"/>
            <w:bookmarkEnd w:id="347"/>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BTBX.IO,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48" w:name="xdx_982_eus-gaap--EquityMethodInvestment"/>
            <w:bookmarkEnd w:id="348"/>
          </w:p>
        </w:tc>
        <w:tc>
          <w:tcPr>
            <w:tcW w:w="873"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Matrioshka Games,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49" w:name="xdx_988_eus-gaap--EquityMethodInvestment"/>
            <w:bookmarkEnd w:id="349"/>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Snail Coins,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50" w:name="xdx_984_eus-gaap--EquityMethodInvestment"/>
            <w:bookmarkEnd w:id="350"/>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Snail Coins (BVI), Ltd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51" w:name="xdx_986_eus-gaap--EquityMethodInvestment"/>
            <w:bookmarkEnd w:id="351"/>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Egofold, LLC</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352" w:name="xdx_988_eus-gaap--EquityMethodInvestment"/>
            <w:bookmarkEnd w:id="352"/>
          </w:p>
        </w:tc>
        <w:tc>
          <w:tcPr>
            <w:tcW w:w="87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Rustic Roost, LLC</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bookmarkStart w:id="353" w:name="xdx_98D_eus-gaap--EquityMethodInvestment"/>
            <w:bookmarkEnd w:id="353"/>
          </w:p>
        </w:tc>
        <w:tc>
          <w:tcPr>
            <w:tcW w:w="873"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354" w:name="xdx_8A8_zAHpHVRHDzz2"/>
      <w:bookmarkEnd w:id="3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incorporated new wholly owned subsidiaries to facilitate future business operations and strategic initiatives. Rustic Roost, LLC was incorporated on December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2024; Snail Coins, LLC was incorporated on August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Snail Coins (BVI), Ltd was incorporated on September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and Egofold, LLC was incorporated on August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All intercompany accounts, transactions, and profits have been eliminated upon consolidation.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provisions for credit losses, deferred income tax assets and associated valuation allowances, deferred revenue, stock-based compensation and fair value of warrants and convertible notes.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55" w:name="xdx_901_eus-gaap--NumberOfReportableSegm"/>
      <w:bookmarkStart w:id="356" w:name="xdx_90C_eus-gaap--NumberOfOperatingSegme"/>
      <w:bookmarkEnd w:id="355"/>
      <w:bookmarkEnd w:id="356"/>
      <w:r>
        <w:rPr>
          <w:rFonts w:ascii="Times New Roman;Times;Serif" w:hAnsi="Times New Roman;Times;Serif"/>
          <w:b w:val="false"/>
          <w:i w:val="false"/>
          <w:caps w:val="false"/>
          <w:smallCaps w:val="false"/>
          <w:sz w:val="20"/>
        </w:rPr>
        <w:t xml:space="preserve">one operating and reportable segment, as the Company’s chief operating decision maker, who is the Company’s Chief Executive Officer, reviews financial information on a consolidated basis for purposes of allocating resources and evaluating performance. Our operations involve similar products and customers worldwide. Revenue earned is primarily derived from the sale of software titles, which are developed internally or licensed from related and third parties. Financial information about our geographic regions is included in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 xml:space="preserve">and information about our reportable operating segment is included in </w:t>
      </w:r>
      <w:r>
        <w:rPr>
          <w:rFonts w:ascii="Times New Roman;Times;Serif" w:hAnsi="Times New Roman;Times;Serif"/>
          <w:b w:val="false"/>
          <w:i/>
          <w:caps w:val="false"/>
          <w:smallCaps w:val="false"/>
          <w:sz w:val="20"/>
        </w:rPr>
        <w:t>Note 18 – Operating Segments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7" w:name="xdx_807_eus-gaap--SignificantAccountingP"/>
      <w:bookmarkEnd w:id="357"/>
      <w:r>
        <w:rPr>
          <w:rFonts w:ascii="Times New Roman;Times;Serif" w:hAnsi="Times New Roman;Times;Serif"/>
          <w:b/>
          <w:i w:val="false"/>
          <w:caps w:val="false"/>
          <w:smallCaps w:val="false"/>
          <w:sz w:val="20"/>
        </w:rPr>
        <w:t xml:space="preserve">NOTE 2 – </w:t>
      </w:r>
      <w:bookmarkStart w:id="358" w:name="xdx_823_zKsEVHfprJ77"/>
      <w:bookmarkEnd w:id="35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9" w:name="xdx_86F_zmKZU2wnGxw1"/>
      <w:bookmarkStart w:id="360" w:name="xdx_847_eus-gaap--RevenueRecognitionPoli"/>
      <w:bookmarkEnd w:id="359"/>
      <w:bookmarkEnd w:id="360"/>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intellectual property is made available to the third-party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standalone selling price for its technical support performance obligation using the cost-plus-margin approach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determines the proportion of total technical support activity attributable to its games based on historical data. The Company then uses the per-unit cost determination to allocate technical support costs over an estimated service period of five years, the expected life of the user. The resulting per-unit cost is increased by a reasonable margin percentage to arrive at the per unit price of the Company’s technical support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publisher of games and sells to its customers including Microsoft’s Xbox Live, Sony’s PlayStation Network, Valve’s Steam, Epic Games Store, My Nintendo Store and retail distributors. The Company assesses whether it acts as principal or agent in each transaction, considering factors such as contractual terms, primary responsibility for fulfilling the promise to deliver the product, and discretion in pricing. The Company serves as the principal for the publisher of games in its arrangement with a related party, SDE Inc. (“SDE”), recognizing revenue on a gross basis. Under this arrangement, the Company licenses intellectual property rights from SDE. For mobile sales arrangements via Apple’s App Store and the Google Play Store, the Company has discretion in establishing the price for the specified good or service and it has determined that the Company is the principal to the end user and thus reports revenue on a gross basis. The Company serves as the principal of games in its arrangement with a related party, Suzhou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goods that the Company sells to players of its free-to-play mobile-games, include virtual currency or in-game purchases of additional game play functionality. For virtual goods, the satisfaction of the Company’s performance obligation is dependent on the nature of the virtual good purchased and as a result, the Company categorizes its virtual goods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 c</w:t>
            </w:r>
            <w:r>
              <w:rPr>
                <w:rFonts w:ascii="Times New Roman;Times;Serif" w:hAnsi="Times New Roman;Times;Serif"/>
                <w:b w:val="false"/>
                <w:i w:val="false"/>
                <w:caps w:val="false"/>
                <w:smallCaps w:val="false"/>
                <w:sz w:val="20"/>
                <w:shd w:fill="F8F8F8" w:val="clear"/>
              </w:rPr>
              <w:t>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Durable: d</w:t>
            </w:r>
            <w:r>
              <w:rPr>
                <w:rFonts w:ascii="Times New Roman;Times;Serif" w:hAnsi="Times New Roman;Times;Serif"/>
                <w:b w:val="false"/>
                <w:i w:val="false"/>
                <w:caps w:val="false"/>
                <w:smallCaps w:val="false"/>
                <w:sz w:val="20"/>
                <w:shd w:fill="F8F8F8" w:val="clear"/>
              </w:rPr>
              <w:t>urable virtual items represent items that are accessible to the player over an extended period of time. The Company recognizes revenue from the sale of durable virtual items ratably over the estimated service period for the applicable game (i.e., over time), which represents the Company’s best estimate of the average life of the durable virtual item or the life of the user.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games that were sold in a bundle with downloadable content (“DLC”) that have not yet been launched and been reported in deferred revenue in the consolidated balance sheets, the Company has used the adjusted market assessment approach per Accounting Standards Codification (“ASC”) 606-10-32-34 to assign a value for the Company’s remaining performance obligations. The Company uses the following reasonably available information in developing the standalone selling prices of the performance obligations: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available data points, including third party or industry pricing, and contractually stated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such as market demand, competition, market constraints, awareness of the product and market trends.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Entity-specific factors including pricing strategies and objectives, market share and pricing practices for bundled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using the following five steps as provided by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w:t>
      </w:r>
      <w:bookmarkStart w:id="361" w:name="xdx_908_ecustom--CustomerTerms_dtD_c2025"/>
      <w:bookmarkEnd w:id="361"/>
      <w:r>
        <w:rPr>
          <w:rFonts w:ascii="Times New Roman;Times;Serif" w:hAnsi="Times New Roman;Times;Serif"/>
          <w:b w:val="false"/>
          <w:i w:val="false"/>
          <w:caps w:val="false"/>
          <w:smallCaps w:val="false"/>
          <w:sz w:val="20"/>
        </w:rPr>
        <w:t xml:space="preserve">30 to </w:t>
      </w:r>
      <w:bookmarkStart w:id="362" w:name="xdx_904_ecustom--CustomerTerms_dtD_c2025"/>
      <w:bookmarkEnd w:id="362"/>
      <w:r>
        <w:rPr>
          <w:rFonts w:ascii="Times New Roman;Times;Serif" w:hAnsi="Times New Roman;Times;Serif"/>
          <w:b w:val="false"/>
          <w:i w:val="false"/>
          <w:caps w:val="false"/>
          <w:smallCaps w:val="false"/>
          <w:sz w:val="20"/>
        </w:rPr>
        <w:t>75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3" w:name="xdx_86F_zjy7FaRcg548"/>
      <w:bookmarkStart w:id="364" w:name="xdx_84F_ecustom--ContractBalancePolicyTe"/>
      <w:bookmarkEnd w:id="363"/>
      <w:bookmarkEnd w:id="364"/>
      <w:r>
        <w:rPr>
          <w:rFonts w:ascii="Times New Roman;Times;Serif" w:hAnsi="Times New Roman;Times;Serif"/>
          <w:b/>
          <w:i/>
          <w:caps w:val="false"/>
          <w:smallCaps w:val="false"/>
          <w:sz w:val="20"/>
        </w:rPr>
        <w:t>Contract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its performance, even if amounts are refundable.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the Company’s mobile games is generally 90 days from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long-term title license agreement with a platform which makes </w:t>
      </w:r>
      <w:r>
        <w:rPr>
          <w:rFonts w:ascii="Times New Roman;Times;Serif" w:hAnsi="Times New Roman;Times;Serif"/>
          <w:b w:val="false"/>
          <w:i/>
          <w:caps w:val="false"/>
          <w:smallCaps w:val="false"/>
          <w:sz w:val="20"/>
        </w:rPr>
        <w:t>ARK 1</w:t>
      </w:r>
      <w:r>
        <w:rPr>
          <w:rFonts w:ascii="Times New Roman;Times;Serif" w:hAnsi="Times New Roman;Times;Serif"/>
          <w:b w:val="false"/>
          <w:i w:val="false"/>
          <w:caps w:val="false"/>
          <w:smallCaps w:val="false"/>
          <w:sz w:val="20"/>
        </w:rPr>
        <w:t xml:space="preserve"> available on the platform in perpetuity, and puts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on the platform for three years upon release. The Company deferred $</w:t>
      </w:r>
      <w:bookmarkStart w:id="365" w:name="xdx_90D_eus-gaap--ContractWithCustomerLi"/>
      <w:bookmarkEnd w:id="365"/>
      <w:r>
        <w:rPr>
          <w:rFonts w:ascii="Times New Roman;Times;Serif" w:hAnsi="Times New Roman;Times;Serif"/>
          <w:b w:val="false"/>
          <w:i w:val="false"/>
          <w:caps w:val="false"/>
          <w:smallCaps w:val="false"/>
          <w:sz w:val="20"/>
        </w:rPr>
        <w:t xml:space="preserve">2.3 million related to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xml:space="preserve"> that is included in the long-term portion of deferred revenue and will be recognized upon the release of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July 2023, the Company entered into a distribution agreement with its retail distribution partner for the distribution of </w:t>
      </w:r>
      <w:r>
        <w:rPr>
          <w:rFonts w:ascii="Times New Roman;Times;Serif" w:hAnsi="Times New Roman;Times;Serif"/>
          <w:b w:val="false"/>
          <w:i/>
          <w:caps w:val="false"/>
          <w:smallCaps w:val="false"/>
          <w:sz w:val="20"/>
          <w:shd w:fill="FFFFFF" w:val="clear"/>
        </w:rPr>
        <w:t xml:space="preserve">ARK: Survival Ascended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caps w:val="false"/>
          <w:smallCaps w:val="false"/>
          <w:sz w:val="20"/>
          <w:shd w:fill="FFFFFF" w:val="clear"/>
        </w:rPr>
        <w:t xml:space="preserve">ARK II. </w:t>
      </w:r>
      <w:r>
        <w:rPr>
          <w:rFonts w:ascii="Times New Roman;Times;Serif" w:hAnsi="Times New Roman;Times;Serif"/>
          <w:b w:val="false"/>
          <w:i w:val="false"/>
          <w:caps w:val="false"/>
          <w:smallCaps w:val="false"/>
          <w:sz w:val="20"/>
          <w:shd w:fill="FFFFFF" w:val="clear"/>
        </w:rPr>
        <w:t>The initial term was two years and renew each subsequent year unless it is cancelled. As of December 31, 2025, the Company has deferred $</w:t>
      </w:r>
      <w:bookmarkStart w:id="366" w:name="xdx_906_eus-gaap--ContractWithCustomerLi"/>
      <w:bookmarkEnd w:id="366"/>
      <w:r>
        <w:rPr>
          <w:rFonts w:ascii="Times New Roman;Times;Serif" w:hAnsi="Times New Roman;Times;Serif"/>
          <w:b w:val="false"/>
          <w:i w:val="false"/>
          <w:caps w:val="false"/>
          <w:smallCaps w:val="false"/>
          <w:sz w:val="20"/>
          <w:shd w:fill="FFFFFF" w:val="clear"/>
        </w:rPr>
        <w:t xml:space="preserve">1.1 million related to </w:t>
      </w:r>
      <w:r>
        <w:rPr>
          <w:rFonts w:ascii="Times New Roman;Times;Serif" w:hAnsi="Times New Roman;Times;Serif"/>
          <w:b w:val="false"/>
          <w:i/>
          <w:caps w:val="false"/>
          <w:smallCaps w:val="false"/>
          <w:sz w:val="20"/>
          <w:shd w:fill="FFFFFF" w:val="clear"/>
        </w:rPr>
        <w:t xml:space="preserve">ARK II </w:t>
      </w:r>
      <w:r>
        <w:rPr>
          <w:rFonts w:ascii="Times New Roman;Times;Serif" w:hAnsi="Times New Roman;Times;Serif"/>
          <w:b w:val="false"/>
          <w:i w:val="false"/>
          <w:caps w:val="false"/>
          <w:smallCaps w:val="false"/>
          <w:sz w:val="20"/>
          <w:shd w:fill="FFFFFF" w:val="clear"/>
        </w:rPr>
        <w:t>as long-term deferred revenue until the disc releases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7" w:name="xdx_860_zFY1LcnrfPAf"/>
      <w:bookmarkStart w:id="368" w:name="xdx_844_eus-gaap--RevenueRemainingPerfor"/>
      <w:bookmarkEnd w:id="367"/>
      <w:bookmarkEnd w:id="368"/>
      <w:r>
        <w:rPr>
          <w:rFonts w:ascii="Times New Roman;Times;Serif" w:hAnsi="Times New Roman;Times;Serif"/>
          <w:b/>
          <w:i/>
          <w:caps w:val="false"/>
          <w:smallCaps w:val="false"/>
          <w:sz w:val="20"/>
        </w:rPr>
        <w:t>Estimated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certain performance obligations satisfied over time, the Company has determined that the estimated service period is the time period in which an average user plays the Company’s software games (“user life”) which most faithfully depicts the timing of satisfying its performance obligation. The Company considers a variety of data points when determining and subsequently reassessing the estimated service period for players of our software games. The Company also considers publicly available online trends. The estimated service period for </w:t>
      </w:r>
      <w:r>
        <w:rPr>
          <w:rFonts w:ascii="Times New Roman;Times;Serif" w:hAnsi="Times New Roman;Times;Serif"/>
          <w:b w:val="false"/>
          <w:i/>
          <w:caps w:val="false"/>
          <w:smallCaps w:val="false"/>
          <w:sz w:val="20"/>
        </w:rPr>
        <w:t>ARK: Ultimate Mobile Edition</w:t>
      </w:r>
      <w:r>
        <w:rPr>
          <w:rFonts w:ascii="Times New Roman;Times;Serif" w:hAnsi="Times New Roman;Times;Serif"/>
          <w:b w:val="false"/>
          <w:i w:val="false"/>
          <w:caps w:val="false"/>
          <w:smallCaps w:val="false"/>
          <w:sz w:val="20"/>
        </w:rPr>
        <w:t xml:space="preserve"> is approximately three months. This estimate is based on observed gamer behavior, including low 90-day retention rates and Keys purchase and consumption trends analyzed using a stratified sampling methodology, which indicates that most gamer activity occurs within two to three months of initial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provides a reasonable depiction of the transfer of its game related services to its players, as it is the best representation of the period during which its players play the Company’s software games. Future usage patterns may differ from historical usage patterns, and therefore the estimated service period may change in the future. The estimated service periods for players of the Company’s current software games are generally 90 days depending on the software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9" w:name="xdx_86A_zKafrTPgYnH3"/>
      <w:bookmarkStart w:id="370" w:name="xdx_845_ecustom--ShippingHandlingAndValu"/>
      <w:bookmarkEnd w:id="369"/>
      <w:bookmarkEnd w:id="370"/>
      <w:r>
        <w:rPr>
          <w:rFonts w:ascii="Times New Roman;Times;Serif" w:hAnsi="Times New Roman;Times;Serif"/>
          <w:b/>
          <w:i/>
          <w:caps w:val="false"/>
          <w:smallCaps w:val="false"/>
          <w:sz w:val="20"/>
        </w:rPr>
        <w:t>Shipping, Handling and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distributor is responsible for the shipping of the game discs to retail stores and incurring the shipping and VAT costs. The Company is paid the net sales amount after deducting shipping costs, VAT and other related expenses by the distributor.</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1" w:name="xdx_86D_z4xOsOdgB67l"/>
      <w:bookmarkStart w:id="372" w:name="xdx_84D_eus-gaap--CostOfSalesPolicyTextB"/>
      <w:bookmarkEnd w:id="371"/>
      <w:bookmarkEnd w:id="372"/>
      <w:r>
        <w:rPr>
          <w:rFonts w:ascii="Times New Roman;Times;Serif" w:hAnsi="Times New Roman;Times;Serif"/>
          <w:b/>
          <w:i/>
          <w:caps w:val="false"/>
          <w:smallCaps w:val="false"/>
          <w:sz w:val="20"/>
        </w:rPr>
        <w:t>Cost of Revenues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include software license royalty fees, merchant fees, internet, server and database center costs, game licenses, engine fees and amortization costs. Cost of revenues for the years ended December 31, 2025 and 2024 were comprised of the following:</w:t>
      </w:r>
    </w:p>
    <w:p>
      <w:pPr>
        <w:pStyle w:val="TextBody"/>
        <w:bidi w:val="0"/>
        <w:spacing w:before="0" w:after="0"/>
        <w:ind w:left="0" w:right="0" w:hanging="0"/>
        <w:jc w:val="both"/>
        <w:rPr>
          <w:caps w:val="false"/>
          <w:smallCaps w:val="false"/>
        </w:rPr>
      </w:pPr>
      <w:bookmarkStart w:id="373" w:name="xdx_89E_ecustom--CostOfGoodsAndServicesS"/>
      <w:bookmarkEnd w:id="373"/>
      <w:r>
        <w:rPr>
          <w:caps w:val="false"/>
          <w:smallCaps w:val="false"/>
        </w:rPr>
        <w:t> </w:t>
      </w:r>
      <w:bookmarkStart w:id="374" w:name="xdx_8B4_zeJwJpR3FKgf"/>
      <w:bookmarkEnd w:id="374"/>
      <w:r>
        <w:rPr>
          <w:rFonts w:ascii="Times New Roman;Times;Serif" w:hAnsi="Times New Roman;Times;Serif"/>
          <w:b w:val="false"/>
          <w:i w:val="false"/>
          <w:caps w:val="false"/>
          <w:smallCaps w:val="false"/>
          <w:sz w:val="20"/>
        </w:rPr>
        <w:t>SCHEDULE OF COST OF REVENUES </w:t>
      </w:r>
    </w:p>
    <w:tbl>
      <w:tblPr>
        <w:tblW w:w="6730" w:type="dxa"/>
        <w:jc w:val="left"/>
        <w:tblInd w:w="0" w:type="dxa"/>
        <w:tblLayout w:type="fixed"/>
        <w:tblCellMar>
          <w:top w:w="0" w:type="dxa"/>
          <w:left w:w="0" w:type="dxa"/>
          <w:bottom w:w="0" w:type="dxa"/>
          <w:right w:w="0" w:type="dxa"/>
        </w:tblCellMar>
      </w:tblPr>
      <w:tblGrid>
        <w:gridCol w:w="3995"/>
        <w:gridCol w:w="60"/>
        <w:gridCol w:w="140"/>
        <w:gridCol w:w="1100"/>
        <w:gridCol w:w="60"/>
        <w:gridCol w:w="60"/>
        <w:gridCol w:w="140"/>
        <w:gridCol w:w="1100"/>
        <w:gridCol w:w="75"/>
      </w:tblGrid>
      <w:tr>
        <w:trPr/>
        <w:tc>
          <w:tcPr>
            <w:tcW w:w="39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375" w:name="xdx_49A_20250101__20251231_zz0zZZmAQXg"/>
            <w:bookmarkEnd w:id="37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6" w:name="xdx_492_20240101__20241231_zvdB7sU5JdR"/>
            <w:bookmarkEnd w:id="37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77" w:name="xdx_407_ecustom--CostSoftwareLicenseRoya"/>
            <w:bookmarkEnd w:id="377"/>
          </w:p>
        </w:tc>
      </w:tr>
      <w:tr>
        <w:trPr/>
        <w:tc>
          <w:tcPr>
            <w:tcW w:w="3995" w:type="dxa"/>
            <w:tcBorders/>
            <w:shd w:fill="CCEEFF" w:val="clear"/>
            <w:vAlign w:val="center"/>
          </w:tcPr>
          <w:p>
            <w:pPr>
              <w:pStyle w:val="TableContents"/>
              <w:bidi w:val="0"/>
              <w:spacing w:before="0" w:after="283"/>
              <w:jc w:val="left"/>
              <w:rPr/>
            </w:pPr>
            <w:r>
              <w:rPr/>
              <w:t>Software license royalties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20,312,794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19,908,982</w:t>
            </w:r>
          </w:p>
        </w:tc>
        <w:tc>
          <w:tcPr>
            <w:tcW w:w="75" w:type="dxa"/>
            <w:tcBorders/>
            <w:shd w:fill="CCEEFF" w:val="clear"/>
            <w:vAlign w:val="center"/>
          </w:tcPr>
          <w:p>
            <w:pPr>
              <w:pStyle w:val="TableContents"/>
              <w:bidi w:val="0"/>
              <w:spacing w:before="0" w:after="283"/>
              <w:jc w:val="left"/>
              <w:rPr/>
            </w:pPr>
            <w:r>
              <w:rPr/>
              <w:t> </w:t>
            </w:r>
            <w:bookmarkStart w:id="378" w:name="xdx_403_ecustom--CostSoftwareLicenseRoya"/>
            <w:bookmarkEnd w:id="378"/>
          </w:p>
        </w:tc>
      </w:tr>
      <w:tr>
        <w:trPr/>
        <w:tc>
          <w:tcPr>
            <w:tcW w:w="3995" w:type="dxa"/>
            <w:tcBorders/>
            <w:shd w:fill="FFFFFF" w:val="clear"/>
            <w:vAlign w:val="center"/>
          </w:tcPr>
          <w:p>
            <w:pPr>
              <w:pStyle w:val="TableContents"/>
              <w:bidi w:val="0"/>
              <w:spacing w:before="0" w:after="283"/>
              <w:jc w:val="left"/>
              <w:rPr/>
            </w:pPr>
            <w:r>
              <w:rPr/>
              <w:t>Software license royalties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574,520</w:t>
            </w:r>
          </w:p>
        </w:tc>
        <w:tc>
          <w:tcPr>
            <w:tcW w:w="75" w:type="dxa"/>
            <w:tcBorders/>
            <w:shd w:fill="FFFFFF" w:val="clear"/>
            <w:vAlign w:val="center"/>
          </w:tcPr>
          <w:p>
            <w:pPr>
              <w:pStyle w:val="TableContents"/>
              <w:bidi w:val="0"/>
              <w:spacing w:before="0" w:after="283"/>
              <w:jc w:val="left"/>
              <w:rPr/>
            </w:pPr>
            <w:r>
              <w:rPr/>
              <w:t> </w:t>
            </w:r>
            <w:bookmarkStart w:id="379" w:name="xdx_401_ecustom--CostLicenseFeesRelatedP"/>
            <w:bookmarkEnd w:id="379"/>
          </w:p>
        </w:tc>
      </w:tr>
      <w:tr>
        <w:trPr/>
        <w:tc>
          <w:tcPr>
            <w:tcW w:w="3995" w:type="dxa"/>
            <w:tcBorders/>
            <w:shd w:fill="CCEEFF" w:val="clear"/>
            <w:vAlign w:val="center"/>
          </w:tcPr>
          <w:p>
            <w:pPr>
              <w:pStyle w:val="TableContents"/>
              <w:bidi w:val="0"/>
              <w:spacing w:before="0" w:after="283"/>
              <w:jc w:val="left"/>
              <w:rPr/>
            </w:pPr>
            <w:r>
              <w:rPr/>
              <w:t>License fees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24,000,000</w:t>
            </w:r>
          </w:p>
        </w:tc>
        <w:tc>
          <w:tcPr>
            <w:tcW w:w="75" w:type="dxa"/>
            <w:tcBorders/>
            <w:shd w:fill="CCEEFF" w:val="clear"/>
            <w:vAlign w:val="center"/>
          </w:tcPr>
          <w:p>
            <w:pPr>
              <w:pStyle w:val="TableContents"/>
              <w:bidi w:val="0"/>
              <w:spacing w:before="0" w:after="283"/>
              <w:jc w:val="left"/>
              <w:rPr/>
            </w:pPr>
            <w:r>
              <w:rPr/>
              <w:t> </w:t>
            </w:r>
            <w:bookmarkStart w:id="380" w:name="xdx_40E_ecustom--CostLicenseFeesAndAmort"/>
            <w:bookmarkEnd w:id="380"/>
          </w:p>
        </w:tc>
      </w:tr>
      <w:tr>
        <w:trPr/>
        <w:tc>
          <w:tcPr>
            <w:tcW w:w="3995" w:type="dxa"/>
            <w:tcBorders/>
            <w:shd w:fill="FFFFFF" w:val="clear"/>
            <w:vAlign w:val="center"/>
          </w:tcPr>
          <w:p>
            <w:pPr>
              <w:pStyle w:val="TableContents"/>
              <w:bidi w:val="0"/>
              <w:spacing w:before="0" w:after="283"/>
              <w:jc w:val="left"/>
              <w:rPr/>
            </w:pPr>
            <w:r>
              <w:rPr/>
              <w:t>License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1,744,292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7,804</w:t>
            </w:r>
          </w:p>
        </w:tc>
        <w:tc>
          <w:tcPr>
            <w:tcW w:w="75" w:type="dxa"/>
            <w:tcBorders/>
            <w:shd w:fill="FFFFFF" w:val="clear"/>
            <w:vAlign w:val="center"/>
          </w:tcPr>
          <w:p>
            <w:pPr>
              <w:pStyle w:val="TableContents"/>
              <w:bidi w:val="0"/>
              <w:spacing w:before="0" w:after="283"/>
              <w:jc w:val="left"/>
              <w:rPr/>
            </w:pPr>
            <w:r>
              <w:rPr/>
              <w:t> </w:t>
            </w:r>
            <w:bookmarkStart w:id="381" w:name="xdx_40E_ecustom--CostMerchantFees_maCOGA"/>
            <w:bookmarkEnd w:id="381"/>
          </w:p>
        </w:tc>
      </w:tr>
      <w:tr>
        <w:trPr/>
        <w:tc>
          <w:tcPr>
            <w:tcW w:w="3995" w:type="dxa"/>
            <w:tcBorders/>
            <w:shd w:fill="CCEEFF" w:val="clear"/>
            <w:vAlign w:val="center"/>
          </w:tcPr>
          <w:p>
            <w:pPr>
              <w:pStyle w:val="TableContents"/>
              <w:bidi w:val="0"/>
              <w:spacing w:before="0" w:after="283"/>
              <w:jc w:val="left"/>
              <w:rPr/>
            </w:pPr>
            <w:r>
              <w:rPr/>
              <w:t>Merchant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1,863,751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890,999</w:t>
            </w:r>
          </w:p>
        </w:tc>
        <w:tc>
          <w:tcPr>
            <w:tcW w:w="75" w:type="dxa"/>
            <w:tcBorders/>
            <w:shd w:fill="CCEEFF" w:val="clear"/>
            <w:vAlign w:val="center"/>
          </w:tcPr>
          <w:p>
            <w:pPr>
              <w:pStyle w:val="TableContents"/>
              <w:bidi w:val="0"/>
              <w:spacing w:before="0" w:after="283"/>
              <w:jc w:val="left"/>
              <w:rPr/>
            </w:pPr>
            <w:r>
              <w:rPr/>
              <w:t> </w:t>
            </w:r>
            <w:bookmarkStart w:id="382" w:name="xdx_40A_ecustom--CostEngineFees_maCOGASz"/>
            <w:bookmarkEnd w:id="382"/>
          </w:p>
        </w:tc>
      </w:tr>
      <w:tr>
        <w:trPr/>
        <w:tc>
          <w:tcPr>
            <w:tcW w:w="3995" w:type="dxa"/>
            <w:tcBorders/>
            <w:shd w:fill="FFFFFF" w:val="clear"/>
            <w:vAlign w:val="center"/>
          </w:tcPr>
          <w:p>
            <w:pPr>
              <w:pStyle w:val="TableContents"/>
              <w:bidi w:val="0"/>
              <w:spacing w:before="0" w:after="283"/>
              <w:jc w:val="left"/>
              <w:rPr/>
            </w:pPr>
            <w:r>
              <w:rPr/>
              <w:t>Engine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4,674,643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3,823,215</w:t>
            </w:r>
          </w:p>
        </w:tc>
        <w:tc>
          <w:tcPr>
            <w:tcW w:w="75" w:type="dxa"/>
            <w:tcBorders/>
            <w:shd w:fill="FFFFFF" w:val="clear"/>
            <w:vAlign w:val="center"/>
          </w:tcPr>
          <w:p>
            <w:pPr>
              <w:pStyle w:val="TableContents"/>
              <w:bidi w:val="0"/>
              <w:spacing w:before="0" w:after="283"/>
              <w:jc w:val="left"/>
              <w:rPr/>
            </w:pPr>
            <w:r>
              <w:rPr/>
              <w:t> </w:t>
            </w:r>
            <w:bookmarkStart w:id="383" w:name="xdx_40C_ecustom--CostInternetExpense_maC"/>
            <w:bookmarkEnd w:id="383"/>
          </w:p>
        </w:tc>
      </w:tr>
      <w:tr>
        <w:trPr/>
        <w:tc>
          <w:tcPr>
            <w:tcW w:w="3995" w:type="dxa"/>
            <w:tcBorders/>
            <w:shd w:fill="CCEEFF" w:val="clear"/>
            <w:vAlign w:val="center"/>
          </w:tcPr>
          <w:p>
            <w:pPr>
              <w:pStyle w:val="TableContents"/>
              <w:bidi w:val="0"/>
              <w:spacing w:before="0" w:after="283"/>
              <w:jc w:val="left"/>
              <w:rPr/>
            </w:pPr>
            <w:r>
              <w:rPr/>
              <w:t>Internet, server and data center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5,932,815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4,977,076</w:t>
            </w:r>
          </w:p>
        </w:tc>
        <w:tc>
          <w:tcPr>
            <w:tcW w:w="75" w:type="dxa"/>
            <w:tcBorders/>
            <w:shd w:fill="CCEEFF" w:val="clear"/>
            <w:vAlign w:val="center"/>
          </w:tcPr>
          <w:p>
            <w:pPr>
              <w:pStyle w:val="TableContents"/>
              <w:bidi w:val="0"/>
              <w:spacing w:before="0" w:after="283"/>
              <w:jc w:val="left"/>
              <w:rPr/>
            </w:pPr>
            <w:r>
              <w:rPr/>
              <w:t> </w:t>
            </w:r>
            <w:bookmarkStart w:id="384" w:name="xdx_403_ecustom--CostsRelatedToOtherReve"/>
            <w:bookmarkEnd w:id="384"/>
          </w:p>
        </w:tc>
      </w:tr>
      <w:tr>
        <w:trPr/>
        <w:tc>
          <w:tcPr>
            <w:tcW w:w="3995" w:type="dxa"/>
            <w:tcBorders/>
            <w:shd w:fill="FFFFFF" w:val="clear"/>
            <w:vAlign w:val="center"/>
          </w:tcPr>
          <w:p>
            <w:pPr>
              <w:pStyle w:val="TableContents"/>
              <w:bidi w:val="0"/>
              <w:spacing w:before="0" w:after="283"/>
              <w:jc w:val="left"/>
              <w:rPr/>
            </w:pPr>
            <w:r>
              <w:rPr/>
              <w:t>Costs related to other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97,880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53,746</w:t>
            </w:r>
          </w:p>
        </w:tc>
        <w:tc>
          <w:tcPr>
            <w:tcW w:w="75" w:type="dxa"/>
            <w:tcBorders/>
            <w:shd w:fill="FFFFFF" w:val="clear"/>
            <w:vAlign w:val="center"/>
          </w:tcPr>
          <w:p>
            <w:pPr>
              <w:pStyle w:val="TableContents"/>
              <w:bidi w:val="0"/>
              <w:spacing w:before="0" w:after="283"/>
              <w:jc w:val="left"/>
              <w:rPr/>
            </w:pPr>
            <w:r>
              <w:rPr/>
              <w:t> </w:t>
            </w:r>
            <w:bookmarkStart w:id="385" w:name="xdx_404_eus-gaap--CostOfGoodsAndServices"/>
            <w:bookmarkEnd w:id="385"/>
          </w:p>
        </w:tc>
      </w:tr>
      <w:tr>
        <w:trPr/>
        <w:tc>
          <w:tcPr>
            <w:tcW w:w="39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58,794,947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54,236,342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86" w:name="xdx_8AD_zMpF4NlNEGvd"/>
      <w:bookmarkEnd w:id="38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7" w:name="xdx_86F_zTeJMh2f3ZYk"/>
      <w:bookmarkStart w:id="388" w:name="xdx_848_eus-gaap--SellingGeneralAndAdmin"/>
      <w:bookmarkEnd w:id="387"/>
      <w:bookmarkEnd w:id="388"/>
      <w:r>
        <w:rPr>
          <w:rFonts w:ascii="Times New Roman;Times;Serif" w:hAnsi="Times New Roman;Times;Serif"/>
          <w:b/>
          <w:i/>
          <w:caps w:val="false"/>
          <w:smallCaps w:val="false"/>
          <w:sz w:val="20"/>
        </w:rPr>
        <w:t>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rent, salaries, stock-based compensation, legal and professional expenses, administrative internet and server, contractor costs, insurance expense, licenses and permits, other taxes and travel expenses. These costs are expensed as they are incurred. Stock-based compensation expense (income), included in general and administrative costs, of $</w:t>
      </w:r>
      <w:bookmarkStart w:id="389" w:name="xdx_902_eus-gaap--AllocatedShareBasedCom"/>
      <w:bookmarkEnd w:id="389"/>
      <w:r>
        <w:rPr>
          <w:rFonts w:ascii="Times New Roman;Times;Serif" w:hAnsi="Times New Roman;Times;Serif"/>
          <w:b w:val="false"/>
          <w:i w:val="false"/>
          <w:caps w:val="false"/>
          <w:smallCaps w:val="false"/>
          <w:sz w:val="20"/>
        </w:rPr>
        <w:t>342,925 and $</w:t>
      </w:r>
      <w:bookmarkStart w:id="390" w:name="xdx_90F_eus-gaap--AllocatedShareBasedCom"/>
      <w:bookmarkEnd w:id="390"/>
      <w:r>
        <w:rPr>
          <w:rFonts w:ascii="Times New Roman;Times;Serif" w:hAnsi="Times New Roman;Times;Serif"/>
          <w:b w:val="false"/>
          <w:i w:val="false"/>
          <w:caps w:val="false"/>
          <w:smallCaps w:val="false"/>
          <w:sz w:val="20"/>
        </w:rPr>
        <w:t>(828,495) was incurred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1" w:name="xdx_863_zT4zoMSTLiu9"/>
      <w:bookmarkStart w:id="392" w:name="xdx_84A_eus-gaap--ResearchAndDevelopment"/>
      <w:bookmarkEnd w:id="391"/>
      <w:bookmarkEnd w:id="392"/>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costs include travel, payroll, third-party costs, and other general expenses specific to research and development activities. Stock-based compensation expense (income), included in research and development costs, of $</w:t>
      </w:r>
      <w:bookmarkStart w:id="393" w:name="xdx_906_eus-gaap--AllocatedShareBasedCom"/>
      <w:bookmarkEnd w:id="393"/>
      <w:r>
        <w:rPr>
          <w:rFonts w:ascii="Times New Roman;Times;Serif" w:hAnsi="Times New Roman;Times;Serif"/>
          <w:b w:val="false"/>
          <w:i w:val="false"/>
          <w:caps w:val="false"/>
          <w:smallCaps w:val="false"/>
          <w:sz w:val="20"/>
        </w:rPr>
        <w:t>28,571 and $</w:t>
      </w:r>
      <w:bookmarkStart w:id="394" w:name="xdx_90B_eus-gaap--AllocatedShareBasedCom"/>
      <w:bookmarkEnd w:id="394"/>
      <w:r>
        <w:rPr>
          <w:rFonts w:ascii="Times New Roman;Times;Serif" w:hAnsi="Times New Roman;Times;Serif"/>
          <w:b w:val="false"/>
          <w:i w:val="false"/>
          <w:caps w:val="false"/>
          <w:smallCaps w:val="false"/>
          <w:sz w:val="20"/>
        </w:rPr>
        <w:t>(61,713) was incurred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software products intended to be sold, leased or otherwise marketed in accordance with ASC 985. Accordingly, we capitalize certain development costs incurred after technological feasibility is established but before the general release of the game. In some cases, there may be capitalized costs for the development of significant additions or improvements to a game or for porting to a different console. These capitalized costs may include labor, materials, and an allocation of overhead directly related to development activities or outsourced development services. As of December 31, 2025, the Company had capitalized $</w:t>
      </w:r>
      <w:bookmarkStart w:id="395" w:name="xdx_903_eus-gaap--ResearchAndDevelopment"/>
      <w:bookmarkEnd w:id="395"/>
      <w:r>
        <w:rPr>
          <w:rFonts w:ascii="Times New Roman;Times;Serif" w:hAnsi="Times New Roman;Times;Serif"/>
          <w:b w:val="false"/>
          <w:i w:val="false"/>
          <w:caps w:val="false"/>
          <w:smallCaps w:val="false"/>
          <w:sz w:val="20"/>
        </w:rPr>
        <w:t>3,652,165 of software development costs under ASC 985 upon the establishment of technological feasibility for the related titles.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6" w:name="xdx_86C_zRbnQ7Nfl9f9"/>
      <w:bookmarkStart w:id="397" w:name="xdx_84E_eus-gaap--AdvertisingCostsPolicy"/>
      <w:bookmarkEnd w:id="396"/>
      <w:bookmarkEnd w:id="397"/>
      <w:r>
        <w:rPr>
          <w:rFonts w:ascii="Times New Roman;Times;Serif" w:hAnsi="Times New Roman;Times;Serif"/>
          <w:b/>
          <w:i/>
          <w:caps w:val="false"/>
          <w:smallCaps w:val="false"/>
          <w:sz w:val="20"/>
        </w:rPr>
        <w:t>Advertising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marketing costs as incurred. Advertising and marketing costs of $</w:t>
      </w:r>
      <w:bookmarkStart w:id="398" w:name="xdx_90B_eus-gaap--MarketingAndAdvertisin"/>
      <w:bookmarkEnd w:id="398"/>
      <w:r>
        <w:rPr>
          <w:rFonts w:ascii="Times New Roman;Times;Serif" w:hAnsi="Times New Roman;Times;Serif"/>
          <w:b w:val="false"/>
          <w:i w:val="false"/>
          <w:caps w:val="false"/>
          <w:smallCaps w:val="false"/>
          <w:sz w:val="20"/>
        </w:rPr>
        <w:t>5,236,951 and $</w:t>
      </w:r>
      <w:bookmarkStart w:id="399" w:name="xdx_90D_eus-gaap--MarketingAndAdvertisin"/>
      <w:bookmarkEnd w:id="399"/>
      <w:r>
        <w:rPr>
          <w:rFonts w:ascii="Times New Roman;Times;Serif" w:hAnsi="Times New Roman;Times;Serif"/>
          <w:b w:val="false"/>
          <w:i w:val="false"/>
          <w:caps w:val="false"/>
          <w:smallCaps w:val="false"/>
          <w:sz w:val="20"/>
        </w:rPr>
        <w:t>1,523,398 were incurred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0" w:name="xdx_86F_zxy8gRImAIhl"/>
      <w:bookmarkStart w:id="401" w:name="xdx_84A_eus-gaap--PropertyPlantAndEquipm"/>
      <w:bookmarkEnd w:id="400"/>
      <w:bookmarkEnd w:id="401"/>
      <w:r>
        <w:rPr>
          <w:rFonts w:ascii="Times New Roman;Times;Serif" w:hAnsi="Times New Roman;Times;Serif"/>
          <w:b/>
          <w:i/>
          <w:caps w:val="false"/>
          <w:smallCaps w:val="false"/>
          <w:sz w:val="20"/>
        </w:rPr>
        <w:t>Impairment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intangible assets, including game licenses, software, and film assets for impairment whenever events or changes in circumstances indicate that the carrying amount of an asset may not be recoverable. If such indicators are present, the Company performs a recoverability test by comparing the carrying value of the asset to the estimated future cash flows expected to result from the use and eventual disposition of the asset. If the carrying amount exceeds the estimated future cash flows, an impairment loss is recognized for the amount by which the carrying value exceeds the asset’s fair value. Impairment expenses for the years ended December 31, 2025 and 2024 were $</w:t>
      </w:r>
      <w:bookmarkStart w:id="402" w:name="xdx_905_eus-gaap--AssetImpairmentCharges"/>
      <w:bookmarkEnd w:id="402"/>
      <w:r>
        <w:rPr>
          <w:rFonts w:ascii="Times New Roman;Times;Serif" w:hAnsi="Times New Roman;Times;Serif"/>
          <w:b w:val="false"/>
          <w:i w:val="false"/>
          <w:caps w:val="false"/>
          <w:smallCaps w:val="false"/>
          <w:sz w:val="20"/>
        </w:rPr>
        <w:t>1,536,182 and $</w:t>
      </w:r>
      <w:bookmarkStart w:id="403" w:name="xdx_904_eus-gaap--AssetImpairmentCharges"/>
      <w:bookmarkEnd w:id="403"/>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4" w:name="xdx_86C_zpiowwErmFug"/>
      <w:bookmarkStart w:id="405" w:name="xdx_848_ecustom--NonControllingInterestP"/>
      <w:bookmarkEnd w:id="404"/>
      <w:bookmarkEnd w:id="405"/>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on the consolidated balance sheets and consolidated statements of operations and comprehensive income (loss) include the equity allocated to non-controlling interest holders. As of December 31, 2025 and 2024, there were non-controlling interests with the following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6" w:name="xdx_8BA_zbmztmUjPiUh"/>
      <w:bookmarkStart w:id="407" w:name="xdx_89B_ecustom--ScheduleOfEquityInteres"/>
      <w:bookmarkEnd w:id="406"/>
      <w:bookmarkEnd w:id="407"/>
      <w:r>
        <w:rPr>
          <w:rFonts w:ascii="Times New Roman;Times;Serif" w:hAnsi="Times New Roman;Times;Serif"/>
          <w:b w:val="false"/>
          <w:i w:val="false"/>
          <w:caps w:val="false"/>
          <w:smallCaps w:val="false"/>
          <w:sz w:val="20"/>
        </w:rPr>
        <w:t>SCHEDULE OF EQUITY INTEREST AND NON CONTROLLING INTEREST IN SUBSIDIARIES</w:t>
      </w:r>
    </w:p>
    <w:tbl>
      <w:tblPr>
        <w:tblW w:w="6758" w:type="dxa"/>
        <w:jc w:val="left"/>
        <w:tblInd w:w="0" w:type="dxa"/>
        <w:tblLayout w:type="fixed"/>
        <w:tblCellMar>
          <w:top w:w="0" w:type="dxa"/>
          <w:left w:w="0" w:type="dxa"/>
          <w:bottom w:w="28" w:type="dxa"/>
          <w:right w:w="0" w:type="dxa"/>
        </w:tblCellMar>
      </w:tblPr>
      <w:tblGrid>
        <w:gridCol w:w="2390"/>
        <w:gridCol w:w="60"/>
        <w:gridCol w:w="337"/>
        <w:gridCol w:w="1467"/>
        <w:gridCol w:w="215"/>
        <w:gridCol w:w="60"/>
        <w:gridCol w:w="374"/>
        <w:gridCol w:w="1625"/>
        <w:gridCol w:w="230"/>
      </w:tblGrid>
      <w:tr>
        <w:trPr/>
        <w:tc>
          <w:tcPr>
            <w:tcW w:w="2390" w:type="dxa"/>
            <w:tcBorders>
              <w:bottom w:val="single" w:sz="8" w:space="0" w:color="000000"/>
            </w:tcBorders>
            <w:vAlign w:val="center"/>
          </w:tcPr>
          <w:p>
            <w:pPr>
              <w:pStyle w:val="TableContents"/>
              <w:bidi w:val="0"/>
              <w:spacing w:before="0" w:after="283"/>
              <w:jc w:val="left"/>
              <w:rPr>
                <w:b/>
              </w:rPr>
            </w:pPr>
            <w:r>
              <w:rPr>
                <w:b/>
              </w:rPr>
              <w:t>Subsidiary Name</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8" w:space="0" w:color="000000"/>
            </w:tcBorders>
            <w:vAlign w:val="center"/>
          </w:tcPr>
          <w:p>
            <w:pPr>
              <w:pStyle w:val="TableContents"/>
              <w:bidi w:val="0"/>
              <w:spacing w:before="0" w:after="283"/>
              <w:jc w:val="center"/>
              <w:rPr>
                <w:b/>
              </w:rPr>
            </w:pPr>
            <w:r>
              <w:rPr>
                <w:b/>
              </w:rPr>
              <w:t>Equity % Owned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8" w:space="0" w:color="000000"/>
            </w:tcBorders>
            <w:vAlign w:val="center"/>
          </w:tcPr>
          <w:p>
            <w:pPr>
              <w:pStyle w:val="TableContents"/>
              <w:bidi w:val="0"/>
              <w:spacing w:before="0" w:after="283"/>
              <w:jc w:val="center"/>
              <w:rPr>
                <w:b/>
              </w:rPr>
            </w:pPr>
            <w:r>
              <w:rPr>
                <w:b/>
              </w:rPr>
              <w:t>Non-Controlling %</w:t>
            </w:r>
          </w:p>
        </w:tc>
        <w:tc>
          <w:tcPr>
            <w:tcW w:w="230"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pPr>
            <w:r>
              <w:rPr/>
              <w:t>Snail Innovative Institute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408" w:name="xdx_908_eus-gaap--MinorityInterestOwners"/>
            <w:bookmarkStart w:id="409" w:name="xdx_909_eus-gaap--MinorityInterestOwners"/>
            <w:bookmarkEnd w:id="408"/>
            <w:bookmarkEnd w:id="409"/>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410" w:name="xdx_903_eus-gaap--MinorityInterestOwners"/>
            <w:bookmarkStart w:id="411" w:name="xdx_90E_eus-gaap--MinorityInterestOwners"/>
            <w:bookmarkEnd w:id="410"/>
            <w:bookmarkEnd w:id="411"/>
            <w:r>
              <w:rPr/>
              <w:t>30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390" w:type="dxa"/>
            <w:tcBorders/>
            <w:shd w:fill="FFFFFF" w:val="clear"/>
            <w:tcMar>
              <w:bottom w:w="0" w:type="dxa"/>
            </w:tcMar>
            <w:vAlign w:val="center"/>
          </w:tcPr>
          <w:p>
            <w:pPr>
              <w:pStyle w:val="TableContents"/>
              <w:bidi w:val="0"/>
              <w:spacing w:before="0" w:after="283"/>
              <w:jc w:val="left"/>
              <w:rPr/>
            </w:pPr>
            <w:r>
              <w:rPr/>
              <w:t>BTBX.IO,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467" w:type="dxa"/>
            <w:tcBorders/>
            <w:shd w:fill="FFFFFF" w:val="clear"/>
            <w:tcMar>
              <w:bottom w:w="0" w:type="dxa"/>
            </w:tcMar>
            <w:vAlign w:val="center"/>
          </w:tcPr>
          <w:p>
            <w:pPr>
              <w:pStyle w:val="TableContents"/>
              <w:bidi w:val="0"/>
              <w:spacing w:before="0" w:after="283"/>
              <w:jc w:val="right"/>
              <w:rPr/>
            </w:pPr>
            <w:bookmarkStart w:id="412" w:name="xdx_906_eus-gaap--MinorityInterestOwners"/>
            <w:bookmarkStart w:id="413" w:name="xdx_908_eus-gaap--MinorityInterestOwners"/>
            <w:bookmarkEnd w:id="412"/>
            <w:bookmarkEnd w:id="413"/>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right"/>
              <w:rPr/>
            </w:pPr>
            <w:bookmarkStart w:id="414" w:name="xdx_90F_eus-gaap--MinorityInterestOwners"/>
            <w:bookmarkStart w:id="415" w:name="xdx_902_eus-gaap--MinorityInterestOwners"/>
            <w:bookmarkEnd w:id="414"/>
            <w:bookmarkEnd w:id="415"/>
            <w:r>
              <w:rPr/>
              <w:t>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390" w:type="dxa"/>
            <w:tcBorders/>
            <w:shd w:fill="CCEEFF" w:val="clear"/>
            <w:tcMar>
              <w:bottom w:w="0" w:type="dxa"/>
            </w:tcMar>
            <w:vAlign w:val="center"/>
          </w:tcPr>
          <w:p>
            <w:pPr>
              <w:pStyle w:val="TableContents"/>
              <w:bidi w:val="0"/>
              <w:spacing w:before="0" w:after="283"/>
              <w:jc w:val="left"/>
              <w:rPr/>
            </w:pPr>
            <w:r>
              <w:rPr/>
              <w:t>Donkey Crew,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 </w:t>
            </w:r>
          </w:p>
        </w:tc>
        <w:tc>
          <w:tcPr>
            <w:tcW w:w="1467" w:type="dxa"/>
            <w:tcBorders/>
            <w:shd w:fill="CCEEFF" w:val="clear"/>
            <w:tcMar>
              <w:bottom w:w="0" w:type="dxa"/>
            </w:tcMar>
            <w:vAlign w:val="center"/>
          </w:tcPr>
          <w:p>
            <w:pPr>
              <w:pStyle w:val="TableContents"/>
              <w:bidi w:val="0"/>
              <w:spacing w:before="0" w:after="283"/>
              <w:jc w:val="right"/>
              <w:rPr/>
            </w:pPr>
            <w:bookmarkStart w:id="416" w:name="xdx_902_eus-gaap--MinorityInterestOwners"/>
            <w:bookmarkStart w:id="417" w:name="xdx_90D_eus-gaap--MinorityInterestOwners"/>
            <w:bookmarkEnd w:id="416"/>
            <w:bookmarkEnd w:id="417"/>
            <w:r>
              <w:rPr/>
              <w:t>99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bookmarkStart w:id="418" w:name="xdx_906_eus-gaap--MinorityInterestOwners"/>
            <w:bookmarkStart w:id="419" w:name="xdx_90F_eus-gaap--MinorityInterestOwners"/>
            <w:bookmarkEnd w:id="418"/>
            <w:bookmarkEnd w:id="419"/>
            <w:r>
              <w:rPr/>
              <w:t>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20" w:name="xdx_8A6_zDrbQREtDJ27"/>
      <w:bookmarkEnd w:id="4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1" w:name="xdx_865_zqVtl3Q7aiTl"/>
      <w:bookmarkStart w:id="422" w:name="xdx_843_eus-gaap--CashAndCashEquivalents"/>
      <w:bookmarkEnd w:id="421"/>
      <w:bookmarkEnd w:id="422"/>
      <w:r>
        <w:rPr>
          <w:rFonts w:ascii="Times New Roman;Times;Serif" w:hAnsi="Times New Roman;Times;Serif"/>
          <w:b/>
          <w:i/>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available for use in current operations or other activities such as capital expenditures and business combinations. Restricted cash and cash equivalents are time deposits, that are currently provided as a standby letter of credit to landlords and collateral held in reserve related to the Company’s revolving line of credit. The Company’s policy for determining whether an item is treated as cash, or a cash equivalent, is based on its original maturity, liquidity, and risk profile. The Company classifies restricted cash and cash equivalents based on the expected timing of when the restrictions will lapse. Amounts expected to be released within one year of the balance sheet date are presented as short-term restricted cash and cash equivalents, while amounts expected to remain restricted for more than one year are presented as long-term restricted cash and cash equivalents on the consolidated balance sheets. Investments with maturities of three months or less, are highly liquid and have insignificant risk are considered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3" w:name="xdx_866_z5Fa4sTP9B86"/>
      <w:bookmarkStart w:id="424" w:name="xdx_84A_eus-gaap--TradeAndOtherAccountsR"/>
      <w:bookmarkEnd w:id="423"/>
      <w:bookmarkEnd w:id="424"/>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the Company’s customers. In estimating expected credit losses, the Company has elected the practical expedient under ASU 2025-05 to assume that current economic conditions, as of the balance sheet date, will not change for the remaining life of the current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the Company’s allowance for credit losses in any accounting period. The amount and timing of credit losses and cash collection could change significantly because of a change in any of the risk factors mentioned above. There were no credit losses recognized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65_z8WSMVpWFDZ6"/>
      <w:bookmarkStart w:id="426" w:name="xdx_847_eus-gaap--PropertyPlantAndEquipm"/>
      <w:bookmarkEnd w:id="425"/>
      <w:bookmarkEnd w:id="426"/>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7" w:name="xdx_89D_ecustom--ScheduleOfPropertyPlant"/>
      <w:bookmarkEnd w:id="427"/>
      <w:r>
        <w:rPr>
          <w:rFonts w:ascii="Times New Roman;Times;Serif" w:hAnsi="Times New Roman;Times;Serif"/>
          <w:b w:val="false"/>
          <w:i w:val="false"/>
          <w:caps w:val="false"/>
          <w:smallCaps w:val="false"/>
          <w:sz w:val="20"/>
        </w:rPr>
        <w:t>Property and equipment, net, are stated at cost. Depreciation is calculated using the straight-line method over the following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8" w:name="xdx_8BD_ziKjpGTBFY9"/>
      <w:bookmarkEnd w:id="428"/>
      <w:r>
        <w:rPr>
          <w:rFonts w:ascii="Times New Roman;Times;Serif" w:hAnsi="Times New Roman;Times;Serif"/>
          <w:b w:val="false"/>
          <w:i w:val="false"/>
          <w:caps w:val="false"/>
          <w:smallCaps w:val="false"/>
          <w:sz w:val="20"/>
        </w:rPr>
        <w:t>SCHEDULE OF USEFUL LIVES OF PROPERTY, PLANT AND EQUIPMENT</w:t>
      </w:r>
    </w:p>
    <w:tbl>
      <w:tblPr>
        <w:tblW w:w="10205" w:type="dxa"/>
        <w:jc w:val="left"/>
        <w:tblInd w:w="0" w:type="dxa"/>
        <w:tblLayout w:type="fixed"/>
        <w:tblCellMar>
          <w:top w:w="0" w:type="dxa"/>
          <w:left w:w="0" w:type="dxa"/>
          <w:bottom w:w="0" w:type="dxa"/>
          <w:right w:w="0" w:type="dxa"/>
        </w:tblCellMar>
      </w:tblPr>
      <w:tblGrid>
        <w:gridCol w:w="2717"/>
        <w:gridCol w:w="60"/>
        <w:gridCol w:w="7428"/>
      </w:tblGrid>
      <w:tr>
        <w:trPr/>
        <w:tc>
          <w:tcPr>
            <w:tcW w:w="271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9" w:name="xdx_909_eus-gaap--PropertyPlantAndEquipm"/>
            <w:bookmarkEnd w:id="429"/>
            <w:r>
              <w:rPr>
                <w:rFonts w:ascii="Times New Roman;Times;Serif" w:hAnsi="Times New Roman;Times;Serif"/>
                <w:b w:val="false"/>
                <w:i w:val="false"/>
                <w:caps w:val="false"/>
                <w:smallCaps w:val="false"/>
                <w:sz w:val="20"/>
              </w:rPr>
              <w:t>39 years</w:t>
            </w:r>
          </w:p>
        </w:tc>
      </w:tr>
      <w:tr>
        <w:trPr/>
        <w:tc>
          <w:tcPr>
            <w:tcW w:w="27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improvements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0" w:name="xdx_909_eus-gaap--PropertyPlantAndEquipm"/>
            <w:bookmarkEnd w:id="430"/>
            <w:r>
              <w:rPr>
                <w:rFonts w:ascii="Times New Roman;Times;Serif" w:hAnsi="Times New Roman;Times;Serif"/>
                <w:b w:val="false"/>
                <w:i w:val="false"/>
                <w:caps w:val="false"/>
                <w:smallCaps w:val="false"/>
                <w:sz w:val="20"/>
              </w:rPr>
              <w:t>7 years</w:t>
            </w:r>
          </w:p>
        </w:tc>
      </w:tr>
      <w:tr>
        <w:trPr/>
        <w:tc>
          <w:tcPr>
            <w:tcW w:w="271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Lesser of the lease term or the estimated useful lives of the improvements, generally </w:t>
            </w:r>
            <w:bookmarkStart w:id="431" w:name="xdx_90A_eus-gaap--PropertyPlantAndEquipm"/>
            <w:bookmarkEnd w:id="431"/>
            <w:r>
              <w:rPr>
                <w:rFonts w:ascii="Times New Roman;Times;Serif" w:hAnsi="Times New Roman;Times;Serif"/>
                <w:b w:val="false"/>
                <w:i w:val="false"/>
                <w:caps w:val="false"/>
                <w:smallCaps w:val="false"/>
                <w:sz w:val="20"/>
              </w:rPr>
              <w:t xml:space="preserve">5 to </w:t>
            </w:r>
            <w:bookmarkStart w:id="432" w:name="xdx_908_eus-gaap--PropertyPlantAndEquipm"/>
            <w:bookmarkEnd w:id="432"/>
            <w:r>
              <w:rPr>
                <w:rFonts w:ascii="Times New Roman;Times;Serif" w:hAnsi="Times New Roman;Times;Serif"/>
                <w:b w:val="false"/>
                <w:i w:val="false"/>
                <w:caps w:val="false"/>
                <w:smallCaps w:val="false"/>
                <w:sz w:val="20"/>
              </w:rPr>
              <w:t>15 years</w:t>
            </w:r>
          </w:p>
        </w:tc>
      </w:tr>
      <w:tr>
        <w:trPr/>
        <w:tc>
          <w:tcPr>
            <w:tcW w:w="27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and software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3" w:name="xdx_90A_eus-gaap--PropertyPlantAndEquipm"/>
            <w:bookmarkEnd w:id="433"/>
            <w:r>
              <w:rPr>
                <w:rFonts w:ascii="Times New Roman;Times;Serif" w:hAnsi="Times New Roman;Times;Serif"/>
                <w:b w:val="false"/>
                <w:i w:val="false"/>
                <w:caps w:val="false"/>
                <w:smallCaps w:val="false"/>
                <w:sz w:val="20"/>
              </w:rPr>
              <w:t xml:space="preserve">3 to </w:t>
            </w:r>
            <w:bookmarkStart w:id="434" w:name="xdx_90F_eus-gaap--PropertyPlantAndEquipm"/>
            <w:bookmarkEnd w:id="434"/>
            <w:r>
              <w:rPr>
                <w:rFonts w:ascii="Times New Roman;Times;Serif" w:hAnsi="Times New Roman;Times;Serif"/>
                <w:b w:val="false"/>
                <w:i w:val="false"/>
                <w:caps w:val="false"/>
                <w:smallCaps w:val="false"/>
                <w:sz w:val="20"/>
              </w:rPr>
              <w:t>5 years</w:t>
            </w:r>
          </w:p>
        </w:tc>
      </w:tr>
      <w:tr>
        <w:trPr/>
        <w:tc>
          <w:tcPr>
            <w:tcW w:w="271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5" w:name="xdx_90F_eus-gaap--PropertyPlantAndEquipm"/>
            <w:bookmarkEnd w:id="435"/>
            <w:r>
              <w:rPr>
                <w:rFonts w:ascii="Times New Roman;Times;Serif" w:hAnsi="Times New Roman;Times;Serif"/>
                <w:b w:val="false"/>
                <w:i w:val="false"/>
                <w:caps w:val="false"/>
                <w:smallCaps w:val="false"/>
                <w:sz w:val="20"/>
              </w:rPr>
              <w:t>3 years</w:t>
            </w:r>
          </w:p>
        </w:tc>
      </w:tr>
      <w:tr>
        <w:trPr/>
        <w:tc>
          <w:tcPr>
            <w:tcW w:w="27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 and trucks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6" w:name="xdx_90D_eus-gaap--PropertyPlantAndEquipm"/>
            <w:bookmarkEnd w:id="436"/>
            <w:r>
              <w:rPr>
                <w:rFonts w:ascii="Times New Roman;Times;Serif" w:hAnsi="Times New Roman;Times;Serif"/>
                <w:b w:val="false"/>
                <w:i w:val="false"/>
                <w:caps w:val="false"/>
                <w:smallCaps w:val="false"/>
                <w:sz w:val="20"/>
              </w:rPr>
              <w:t>5 years</w:t>
            </w:r>
          </w:p>
        </w:tc>
      </w:tr>
    </w:tbl>
    <w:p>
      <w:pPr>
        <w:pStyle w:val="TextBody"/>
        <w:bidi w:val="0"/>
        <w:spacing w:before="0" w:after="0"/>
        <w:ind w:left="0" w:right="0" w:hanging="0"/>
        <w:jc w:val="both"/>
        <w:rPr>
          <w:caps w:val="false"/>
          <w:smallCaps w:val="false"/>
        </w:rPr>
      </w:pPr>
      <w:bookmarkStart w:id="437" w:name="xdx_8AE_zFvSRX8qzOYh"/>
      <w:bookmarkEnd w:id="4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assets are retired or disposed of, the cost and accumulated depreciation thereon are removed, and any resulting gains or losses are included in the consolidated statements of operations and comprehensive income (loss). Leasehold improvements are amortized using the straight-line method over the estimated life of the asset, not to exceed the length of the lease. Repairs and maintenance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8" w:name="xdx_860_znbcHDBLQcPk"/>
      <w:bookmarkStart w:id="439" w:name="xdx_844_eus-gaap--ForeignCurrencyTransac"/>
      <w:bookmarkEnd w:id="438"/>
      <w:bookmarkEnd w:id="439"/>
      <w:r>
        <w:rPr>
          <w:rFonts w:ascii="Times New Roman;Times;Serif" w:hAnsi="Times New Roman;Times;Serif"/>
          <w:b/>
          <w:i/>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the translation are included in accumulated other comprehensive loss. Realized and unrealized transaction gains and losses arising from transactions denominated in foreign currencies different than the relevant functional currency are included in the Company’s consolidated statements of operations and comprehensive income (loss) in the period in which they occur. Foreign currency transaction (losses) and gains were $</w:t>
      </w:r>
      <w:bookmarkStart w:id="440" w:name="xdx_902_eus-gaap--ForeignCurrencyTransac"/>
      <w:bookmarkEnd w:id="440"/>
      <w:r>
        <w:rPr>
          <w:rFonts w:ascii="Times New Roman;Times;Serif" w:hAnsi="Times New Roman;Times;Serif"/>
          <w:b w:val="false"/>
          <w:i w:val="false"/>
          <w:caps w:val="false"/>
          <w:smallCaps w:val="false"/>
          <w:sz w:val="20"/>
        </w:rPr>
        <w:t>(90,500) and $</w:t>
      </w:r>
      <w:bookmarkStart w:id="441" w:name="xdx_904_eus-gaap--ForeignCurrencyTransac"/>
      <w:bookmarkEnd w:id="441"/>
      <w:r>
        <w:rPr>
          <w:rFonts w:ascii="Times New Roman;Times;Serif" w:hAnsi="Times New Roman;Times;Serif"/>
          <w:b w:val="false"/>
          <w:i w:val="false"/>
          <w:caps w:val="false"/>
          <w:smallCaps w:val="false"/>
          <w:sz w:val="20"/>
        </w:rPr>
        <w:t>11,686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2" w:name="xdx_86C_z5lhN8X6Grc3"/>
      <w:bookmarkStart w:id="443" w:name="xdx_845_eus-gaap--GoodwillAndIntangibleA"/>
      <w:bookmarkEnd w:id="442"/>
      <w:bookmarkEnd w:id="443"/>
      <w:r>
        <w:rPr>
          <w:rFonts w:ascii="Times New Roman;Times;Serif" w:hAnsi="Times New Roman;Times;Serif"/>
          <w:b/>
          <w:i/>
          <w:caps w:val="false"/>
          <w:smallCaps w:val="false"/>
          <w:sz w:val="20"/>
        </w:rPr>
        <w:t>Intangible Assets – License Usage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 As of December 31, 2025 and 2024, the Company capitalized $</w:t>
      </w:r>
      <w:bookmarkStart w:id="444" w:name="xdx_90F_eus-gaap--IntangibleAssetsNetExc"/>
      <w:bookmarkStart w:id="445" w:name="xdx_90B_eus-gaap--IntangibleAssetsNetExc"/>
      <w:bookmarkEnd w:id="444"/>
      <w:bookmarkEnd w:id="445"/>
      <w:r>
        <w:rPr>
          <w:rFonts w:ascii="Times New Roman;Times;Serif" w:hAnsi="Times New Roman;Times;Serif"/>
          <w:b w:val="false"/>
          <w:i w:val="false"/>
          <w:caps w:val="false"/>
          <w:smallCaps w:val="false"/>
          <w:sz w:val="20"/>
        </w:rPr>
        <w:t>420,000 in license usage rights which are included within intangible assets, net, within the consolidated balance sheets. Additionally, the Company has capitalized $</w:t>
      </w:r>
      <w:bookmarkStart w:id="446" w:name="xdx_906_eus-gaap--OtherIntangibleAssetsN"/>
      <w:bookmarkEnd w:id="446"/>
      <w:r>
        <w:rPr>
          <w:rFonts w:ascii="Times New Roman;Times;Serif" w:hAnsi="Times New Roman;Times;Serif"/>
          <w:b w:val="false"/>
          <w:i w:val="false"/>
          <w:caps w:val="false"/>
          <w:smallCaps w:val="false"/>
          <w:sz w:val="20"/>
        </w:rPr>
        <w:t>5,000,000 related to a game license, which is included in intangible assets, net – related party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7" w:name="xdx_869_z7USSUXHoEV8"/>
      <w:bookmarkStart w:id="448" w:name="xdx_84C_eus-gaap--FilmCostsPolicyPolicyT"/>
      <w:bookmarkEnd w:id="447"/>
      <w:bookmarkEnd w:id="448"/>
      <w:r>
        <w:rPr>
          <w:rFonts w:ascii="Times New Roman;Times;Serif" w:hAnsi="Times New Roman;Times;Serif"/>
          <w:b/>
          <w:i/>
          <w:caps w:val="false"/>
          <w:smallCaps w:val="false"/>
          <w:sz w:val="20"/>
        </w:rPr>
        <w:t>Film Costs,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December 31, 2025 and December 31, 2024, the capitalized film costs were $</w:t>
      </w:r>
      <w:bookmarkStart w:id="449" w:name="xdx_90C_eus-gaap--IncreaseDecreaseInFilm"/>
      <w:bookmarkEnd w:id="449"/>
      <w:r>
        <w:rPr>
          <w:rFonts w:ascii="Times New Roman;Times;Serif" w:hAnsi="Times New Roman;Times;Serif"/>
          <w:b w:val="false"/>
          <w:i w:val="false"/>
          <w:caps w:val="false"/>
          <w:smallCaps w:val="false"/>
          <w:sz w:val="20"/>
        </w:rPr>
        <w:t>244,450 and $</w:t>
      </w:r>
      <w:bookmarkStart w:id="450" w:name="xdx_90F_eus-gaap--IncreaseDecreaseInFilm"/>
      <w:bookmarkEnd w:id="450"/>
      <w:r>
        <w:rPr>
          <w:rFonts w:ascii="Times New Roman;Times;Serif" w:hAnsi="Times New Roman;Times;Serif"/>
          <w:b w:val="false"/>
          <w:i w:val="false"/>
          <w:caps w:val="false"/>
          <w:smallCaps w:val="false"/>
          <w:sz w:val="20"/>
        </w:rPr>
        <w:t>1,512,960, respectively, which are included in other noncurrent assets, net of accumulated amortization,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impairment of $</w:t>
      </w:r>
      <w:bookmarkStart w:id="451" w:name="xdx_907_ecustom--ImpairmentOnFilmCosts_p"/>
      <w:bookmarkEnd w:id="451"/>
      <w:r>
        <w:rPr>
          <w:rFonts w:ascii="Times New Roman;Times;Serif" w:hAnsi="Times New Roman;Times;Serif"/>
          <w:b w:val="false"/>
          <w:i w:val="false"/>
          <w:caps w:val="false"/>
          <w:smallCaps w:val="false"/>
          <w:sz w:val="20"/>
        </w:rPr>
        <w:t>868,722 and $</w:t>
      </w:r>
      <w:bookmarkStart w:id="452" w:name="xdx_903_ecustom--ImpairmentOnFilmCosts_p"/>
      <w:bookmarkEnd w:id="452"/>
      <w:r>
        <w:rPr>
          <w:rFonts w:ascii="Times New Roman;Times;Serif" w:hAnsi="Times New Roman;Times;Serif"/>
          <w:b w:val="false"/>
          <w:i w:val="false"/>
          <w:caps w:val="false"/>
          <w:smallCaps w:val="false"/>
          <w:sz w:val="20"/>
        </w:rPr>
        <w:t>0 for the year ended December 31, 2025 and 2024, respectively. The impairment is primarily related to the underperforming titles released during the period and the elimination of marketing plans for these titles. The impairment charges are included in the impairment expenses on the consolidated statement of operations and comprehensive income (loss). The Company continues to monitor the performance of its film assets and may record additional impairments in future periods if conditions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3" w:name="xdx_865_zTJYX7raZDy8"/>
      <w:bookmarkStart w:id="454" w:name="xdx_846_ecustom--SoftwareDevelopmentCost"/>
      <w:bookmarkEnd w:id="453"/>
      <w:bookmarkEnd w:id="454"/>
      <w:r>
        <w:rPr>
          <w:rFonts w:ascii="Times New Roman;Times;Serif" w:hAnsi="Times New Roman;Times;Serif"/>
          <w:b/>
          <w:i/>
          <w:caps w:val="false"/>
          <w:smallCaps w:val="false"/>
          <w:sz w:val="20"/>
        </w:rPr>
        <w:t>Software Development Costs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software products intended to be sold, leased or otherwise marketed in accordance with ASC 985. Accordingly, we capitalize costs incurred for internally developed titles and payments made to third-party software developers under development agreements as software. These software development costs may include payroll, materials, third-party costs, and other costs directly related to development activities subsequent to establishing technological feasibility of the software. Significant management judgments are made in the assessment of when technological feasibility is established. Technological feasibility is evaluated on a product-by-product basis. Prior to establishing technological feasibility of a product, we record any costs incurred by their-party developers as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capitalized $</w:t>
      </w:r>
      <w:bookmarkStart w:id="455" w:name="xdx_90C_eus-gaap--ResearchAndDevelopment"/>
      <w:bookmarkEnd w:id="455"/>
      <w:r>
        <w:rPr>
          <w:rFonts w:ascii="Times New Roman;Times;Serif" w:hAnsi="Times New Roman;Times;Serif"/>
          <w:b w:val="false"/>
          <w:i w:val="false"/>
          <w:caps w:val="false"/>
          <w:smallCaps w:val="false"/>
          <w:sz w:val="20"/>
        </w:rPr>
        <w:t xml:space="preserve">3,652,165 of software development costs under ASC 985 for various titles, which are included in intangible assets, net, in the Company’s consolidated balance sheets. There were </w:t>
      </w:r>
      <w:bookmarkStart w:id="456" w:name="xdx_90C_eus-gaap--ResearchAndDevelopment"/>
      <w:bookmarkEnd w:id="456"/>
      <w:r>
        <w:rPr>
          <w:rFonts w:ascii="Times New Roman;Times;Serif" w:hAnsi="Times New Roman;Times;Serif"/>
          <w:b w:val="false"/>
          <w:i w:val="false"/>
          <w:caps w:val="false"/>
          <w:smallCaps w:val="false"/>
          <w:sz w:val="20"/>
        </w:rPr>
        <w:t>no software development costs capitalized under ASC 985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7" w:name="xdx_863_zLaXZvr2qUy2"/>
      <w:bookmarkStart w:id="458" w:name="xdx_847_eus-gaap--FairValueMeasurementPo"/>
      <w:bookmarkEnd w:id="457"/>
      <w:bookmarkEnd w:id="458"/>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hierarchy of inputs used to measure fair value and the primary valuation methodologies used by the Company for financial instruments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that are supported by little or no market activity and that are significant to the fair value of the assets or liabilities.</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financial instrument’s categorization within the valuation hierarchy is based upon the lowest level of input that is significant to the fair value measurement. The Company’s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 their fair value based on current rates and terms available to the Company for similar debt. The fair value of the Company’s promissory note has a fixed rate until June 2026, then a floating rate that approximates the Wall Street Journal Prime Rate. </w:t>
      </w:r>
      <w:bookmarkStart w:id="459" w:name="xdx_90D_eus-gaap--DebtInstrumentDescript"/>
      <w:bookmarkEnd w:id="459"/>
      <w:r>
        <w:rPr>
          <w:rFonts w:ascii="Times New Roman;Times;Serif" w:hAnsi="Times New Roman;Times;Serif"/>
          <w:b w:val="false"/>
          <w:i w:val="false"/>
          <w:caps w:val="false"/>
          <w:smallCaps w:val="false"/>
          <w:sz w:val="20"/>
        </w:rPr>
        <w:t xml:space="preserve">The fair value of the Company’s term loan note has a floating rate that approximates the Wall Street Journal Prime Rate or a floor rate of 6.50%, whichever is higher. The Company considers the carrying amount of the loans to approximate fair value as the discounted cost in comparison to market rates would not be materially different than the cost to acquire a loan with similar terms. The Company’s convertible notes are measured at fair value using a binomial lattice framework and a range of level 3 inputs as described in Note 12 – </w:t>
      </w:r>
      <w:r>
        <w:rPr>
          <w:rFonts w:ascii="Times New Roman;Times;Serif" w:hAnsi="Times New Roman;Times;Serif"/>
          <w:b w:val="false"/>
          <w:i/>
          <w:caps w:val="false"/>
          <w:smallCaps w:val="false"/>
          <w:sz w:val="20"/>
        </w:rPr>
        <w:t>Revolving Loan, Short Term Notes and Long-Term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liability classified warrants measured at fair value on a recurring basis. During the year ended December 31, 2025, the Company transitioned its valuation methodology from a Monte Carlo simulation model to a Black-Scholes option-pricing model. The Company had historically valued the warrants using a Monte Carlo simulation due to certain anti dilutive features that are no longer expected to occur. The change represents a change in accounting estimate and is applied prospectively. See Note 17 –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0" w:name="xdx_89D_eus-gaap--FairValueLiabilitiesMe"/>
      <w:bookmarkEnd w:id="460"/>
      <w:r>
        <w:rPr>
          <w:rFonts w:ascii="Times New Roman;Times;Serif" w:hAnsi="Times New Roman;Times;Serif"/>
          <w:b w:val="false"/>
          <w:i w:val="false"/>
          <w:caps w:val="false"/>
          <w:smallCaps w:val="false"/>
          <w:sz w:val="20"/>
        </w:rPr>
        <w:t>The following table presents the Company’s convertible notes, convertible notes warrants, and equity line of credit warrants measured at fair value and classified within the fair value hierarchy as of December 31,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B1_zlcTy8mUt8Ja"/>
      <w:bookmarkEnd w:id="461"/>
      <w:r>
        <w:rPr>
          <w:rFonts w:ascii="Times New Roman;Times;Serif" w:hAnsi="Times New Roman;Times;Serif"/>
          <w:b w:val="false"/>
          <w:i w:val="false"/>
          <w:caps w:val="false"/>
          <w:smallCaps w:val="false"/>
          <w:sz w:val="20"/>
        </w:rPr>
        <w:t>SCHEDULE OF FAIR VALUE AND CLASSIFIED WITHIN THE FAIR VALUE HIERARCHY  </w:t>
      </w:r>
    </w:p>
    <w:tbl>
      <w:tblPr>
        <w:tblW w:w="10205" w:type="dxa"/>
        <w:jc w:val="left"/>
        <w:tblInd w:w="0" w:type="dxa"/>
        <w:tblLayout w:type="fixed"/>
        <w:tblCellMar>
          <w:top w:w="0" w:type="dxa"/>
          <w:left w:w="0" w:type="dxa"/>
          <w:bottom w:w="0" w:type="dxa"/>
          <w:right w:w="0" w:type="dxa"/>
        </w:tblCellMar>
      </w:tblPr>
      <w:tblGrid>
        <w:gridCol w:w="2194"/>
        <w:gridCol w:w="60"/>
        <w:gridCol w:w="165"/>
        <w:gridCol w:w="1159"/>
        <w:gridCol w:w="70"/>
        <w:gridCol w:w="70"/>
        <w:gridCol w:w="778"/>
        <w:gridCol w:w="1448"/>
        <w:gridCol w:w="70"/>
        <w:gridCol w:w="70"/>
        <w:gridCol w:w="518"/>
        <w:gridCol w:w="963"/>
        <w:gridCol w:w="70"/>
        <w:gridCol w:w="70"/>
        <w:gridCol w:w="307"/>
        <w:gridCol w:w="2108"/>
        <w:gridCol w:w="85"/>
      </w:tblGrid>
      <w:tr>
        <w:trPr/>
        <w:tc>
          <w:tcPr>
            <w:tcW w:w="21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66"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December 31, 2025</w:t>
            </w:r>
          </w:p>
        </w:tc>
        <w:tc>
          <w:tcPr>
            <w:tcW w:w="85" w:type="dxa"/>
            <w:tcBorders/>
            <w:vAlign w:val="center"/>
          </w:tcPr>
          <w:p>
            <w:pPr>
              <w:pStyle w:val="TableContents"/>
              <w:bidi w:val="0"/>
              <w:spacing w:before="0" w:after="283"/>
              <w:jc w:val="left"/>
              <w:rPr/>
            </w:pPr>
            <w:r>
              <w:rPr/>
              <w:t> </w:t>
            </w:r>
          </w:p>
        </w:tc>
      </w:tr>
      <w:tr>
        <w:trPr/>
        <w:tc>
          <w:tcPr>
            <w:tcW w:w="21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Total fair </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26"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41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5" w:type="dxa"/>
            <w:tcBorders/>
            <w:vAlign w:val="center"/>
          </w:tcPr>
          <w:p>
            <w:pPr>
              <w:pStyle w:val="TableContents"/>
              <w:bidi w:val="0"/>
              <w:spacing w:before="0" w:after="283"/>
              <w:jc w:val="left"/>
              <w:rPr/>
            </w:pPr>
            <w:r>
              <w:rPr/>
              <w:t> </w:t>
            </w:r>
          </w:p>
        </w:tc>
      </w:tr>
      <w:tr>
        <w:trPr/>
        <w:tc>
          <w:tcPr>
            <w:tcW w:w="2194"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bookmarkStart w:id="462" w:name="xdx_980_eus-gaap--ConvertibleDebtFairVal"/>
            <w:bookmarkEnd w:id="462"/>
          </w:p>
        </w:tc>
        <w:tc>
          <w:tcPr>
            <w:tcW w:w="1159" w:type="dxa"/>
            <w:tcBorders/>
            <w:shd w:fill="CCEEFF" w:val="clear"/>
            <w:vAlign w:val="center"/>
          </w:tcPr>
          <w:p>
            <w:pPr>
              <w:pStyle w:val="TableContents"/>
              <w:bidi w:val="0"/>
              <w:spacing w:before="0" w:after="283"/>
              <w:jc w:val="right"/>
              <w:rPr/>
            </w:pPr>
            <w:r>
              <w:rPr/>
              <w:t>3,842,189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w:t>
            </w:r>
            <w:bookmarkStart w:id="463" w:name="xdx_98C_eus-gaap--ConvertibleDebtFairVal"/>
            <w:bookmarkEnd w:id="463"/>
          </w:p>
        </w:tc>
        <w:tc>
          <w:tcPr>
            <w:tcW w:w="1448"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464" w:name="xdx_983_eus-gaap--ConvertibleDebtFairVal"/>
            <w:bookmarkEnd w:id="464"/>
          </w:p>
        </w:tc>
        <w:tc>
          <w:tcPr>
            <w:tcW w:w="96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465" w:name="xdx_981_eus-gaap--ConvertibleDebtFairVal"/>
            <w:bookmarkEnd w:id="465"/>
          </w:p>
        </w:tc>
        <w:tc>
          <w:tcPr>
            <w:tcW w:w="2108" w:type="dxa"/>
            <w:tcBorders/>
            <w:shd w:fill="CCEEFF" w:val="clear"/>
            <w:vAlign w:val="center"/>
          </w:tcPr>
          <w:p>
            <w:pPr>
              <w:pStyle w:val="TableContents"/>
              <w:bidi w:val="0"/>
              <w:spacing w:before="0" w:after="283"/>
              <w:jc w:val="right"/>
              <w:rPr/>
            </w:pPr>
            <w:r>
              <w:rPr/>
              <w:t>3,842,189</w:t>
            </w:r>
          </w:p>
        </w:tc>
        <w:tc>
          <w:tcPr>
            <w:tcW w:w="85" w:type="dxa"/>
            <w:tcBorders/>
            <w:shd w:fill="CCEEFF" w:val="clear"/>
            <w:vAlign w:val="center"/>
          </w:tcPr>
          <w:p>
            <w:pPr>
              <w:pStyle w:val="TableContents"/>
              <w:bidi w:val="0"/>
              <w:spacing w:before="0" w:after="283"/>
              <w:jc w:val="left"/>
              <w:rPr/>
            </w:pPr>
            <w:r>
              <w:rPr/>
              <w:t> </w:t>
            </w:r>
          </w:p>
        </w:tc>
      </w:tr>
      <w:tr>
        <w:trPr/>
        <w:tc>
          <w:tcPr>
            <w:tcW w:w="2194"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466" w:name="xdx_982_ecustom--ConvertibleDebtWarrants"/>
            <w:bookmarkEnd w:id="466"/>
          </w:p>
        </w:tc>
        <w:tc>
          <w:tcPr>
            <w:tcW w:w="1159" w:type="dxa"/>
            <w:tcBorders/>
            <w:shd w:fill="FFFFFF" w:val="clear"/>
            <w:vAlign w:val="center"/>
          </w:tcPr>
          <w:p>
            <w:pPr>
              <w:pStyle w:val="TableContents"/>
              <w:bidi w:val="0"/>
              <w:spacing w:before="0" w:after="283"/>
              <w:jc w:val="right"/>
              <w:rPr/>
            </w:pPr>
            <w:r>
              <w:rPr/>
              <w:t>632,876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bookmarkStart w:id="467" w:name="xdx_98F_ecustom--ConvertibleDebtWarrants"/>
            <w:bookmarkEnd w:id="467"/>
          </w:p>
        </w:tc>
        <w:tc>
          <w:tcPr>
            <w:tcW w:w="1448"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 </w:t>
            </w:r>
            <w:bookmarkStart w:id="468" w:name="xdx_988_ecustom--ConvertibleDebtWarrants"/>
            <w:bookmarkEnd w:id="468"/>
          </w:p>
        </w:tc>
        <w:tc>
          <w:tcPr>
            <w:tcW w:w="963"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469" w:name="xdx_981_ecustom--ConvertibleDebtWarrants"/>
            <w:bookmarkEnd w:id="469"/>
          </w:p>
        </w:tc>
        <w:tc>
          <w:tcPr>
            <w:tcW w:w="2108" w:type="dxa"/>
            <w:tcBorders/>
            <w:shd w:fill="FFFFFF" w:val="clear"/>
            <w:vAlign w:val="center"/>
          </w:tcPr>
          <w:p>
            <w:pPr>
              <w:pStyle w:val="TableContents"/>
              <w:bidi w:val="0"/>
              <w:spacing w:before="0" w:after="283"/>
              <w:jc w:val="right"/>
              <w:rPr/>
            </w:pPr>
            <w:r>
              <w:rPr/>
              <w:t>632,876</w:t>
            </w:r>
          </w:p>
        </w:tc>
        <w:tc>
          <w:tcPr>
            <w:tcW w:w="85" w:type="dxa"/>
            <w:tcBorders/>
            <w:shd w:fill="FFFFFF" w:val="clear"/>
            <w:vAlign w:val="center"/>
          </w:tcPr>
          <w:p>
            <w:pPr>
              <w:pStyle w:val="TableContents"/>
              <w:bidi w:val="0"/>
              <w:spacing w:before="0" w:after="283"/>
              <w:jc w:val="left"/>
              <w:rPr/>
            </w:pPr>
            <w:r>
              <w:rPr/>
              <w:t> </w:t>
            </w:r>
          </w:p>
        </w:tc>
      </w:tr>
      <w:tr>
        <w:trPr/>
        <w:tc>
          <w:tcPr>
            <w:tcW w:w="2194"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0" w:name="xdx_980_eus-gaap--LinesOfCreditFairValue"/>
            <w:bookmarkEnd w:id="470"/>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143,675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1" w:name="xdx_98E_eus-gaap--LinesOfCreditFairValue"/>
            <w:bookmarkEnd w:id="471"/>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2" w:name="xdx_982_eus-gaap--LinesOfCreditFairValue"/>
            <w:bookmarkEnd w:id="472"/>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3" w:name="xdx_98B_eus-gaap--LinesOfCreditFairValue"/>
            <w:bookmarkEnd w:id="473"/>
          </w:p>
        </w:tc>
        <w:tc>
          <w:tcPr>
            <w:tcW w:w="2108" w:type="dxa"/>
            <w:tcBorders>
              <w:bottom w:val="single" w:sz="8" w:space="0" w:color="000000"/>
            </w:tcBorders>
            <w:shd w:fill="CCEEFF" w:val="clear"/>
            <w:tcMar>
              <w:bottom w:w="28" w:type="dxa"/>
            </w:tcMar>
            <w:vAlign w:val="center"/>
          </w:tcPr>
          <w:p>
            <w:pPr>
              <w:pStyle w:val="TableContents"/>
              <w:bidi w:val="0"/>
              <w:spacing w:before="0" w:after="283"/>
              <w:jc w:val="right"/>
              <w:rPr/>
            </w:pPr>
            <w:r>
              <w:rPr/>
              <w:t>143,675</w:t>
            </w:r>
          </w:p>
        </w:tc>
        <w:tc>
          <w:tcPr>
            <w:tcW w:w="85" w:type="dxa"/>
            <w:tcBorders/>
            <w:shd w:fill="CCEEFF" w:val="clear"/>
            <w:vAlign w:val="center"/>
          </w:tcPr>
          <w:p>
            <w:pPr>
              <w:pStyle w:val="TableContents"/>
              <w:bidi w:val="0"/>
              <w:spacing w:before="0" w:after="283"/>
              <w:jc w:val="left"/>
              <w:rPr/>
            </w:pPr>
            <w:r>
              <w:rPr/>
              <w:t> </w:t>
            </w:r>
          </w:p>
        </w:tc>
      </w:tr>
      <w:tr>
        <w:trPr/>
        <w:tc>
          <w:tcPr>
            <w:tcW w:w="219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4" w:name="xdx_98E_eus-gaap--FinancialLiabilitiesFa"/>
            <w:bookmarkEnd w:id="474"/>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4,618,740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5" w:name="xdx_984_eus-gaap--FinancialLiabilitiesFa"/>
            <w:bookmarkEnd w:id="475"/>
          </w:p>
        </w:tc>
        <w:tc>
          <w:tcPr>
            <w:tcW w:w="14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6" w:name="xdx_98E_eus-gaap--FinancialLiabilitiesFa"/>
            <w:bookmarkEnd w:id="476"/>
          </w:p>
        </w:tc>
        <w:tc>
          <w:tcPr>
            <w:tcW w:w="96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7" w:name="xdx_981_eus-gaap--FinancialLiabilitiesFa"/>
            <w:bookmarkEnd w:id="477"/>
          </w:p>
        </w:tc>
        <w:tc>
          <w:tcPr>
            <w:tcW w:w="2108" w:type="dxa"/>
            <w:tcBorders>
              <w:bottom w:val="double" w:sz="6" w:space="0" w:color="000000"/>
            </w:tcBorders>
            <w:shd w:fill="FFFFFF" w:val="clear"/>
            <w:tcMar>
              <w:bottom w:w="28" w:type="dxa"/>
            </w:tcMar>
            <w:vAlign w:val="center"/>
          </w:tcPr>
          <w:p>
            <w:pPr>
              <w:pStyle w:val="TableContents"/>
              <w:bidi w:val="0"/>
              <w:spacing w:before="0" w:after="283"/>
              <w:jc w:val="right"/>
              <w:rPr/>
            </w:pPr>
            <w:r>
              <w:rPr/>
              <w:t>4,618,740</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4"/>
        <w:gridCol w:w="60"/>
        <w:gridCol w:w="165"/>
        <w:gridCol w:w="1159"/>
        <w:gridCol w:w="70"/>
        <w:gridCol w:w="70"/>
        <w:gridCol w:w="778"/>
        <w:gridCol w:w="1448"/>
        <w:gridCol w:w="70"/>
        <w:gridCol w:w="70"/>
        <w:gridCol w:w="518"/>
        <w:gridCol w:w="963"/>
        <w:gridCol w:w="70"/>
        <w:gridCol w:w="70"/>
        <w:gridCol w:w="307"/>
        <w:gridCol w:w="2108"/>
        <w:gridCol w:w="85"/>
      </w:tblGrid>
      <w:tr>
        <w:trPr/>
        <w:tc>
          <w:tcPr>
            <w:tcW w:w="21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866" w:type="dxa"/>
            <w:gridSpan w:val="14"/>
            <w:tcBorders>
              <w:bottom w:val="single" w:sz="8" w:space="0" w:color="000000"/>
            </w:tcBorders>
            <w:tcMar>
              <w:bottom w:w="28" w:type="dxa"/>
            </w:tcMar>
            <w:vAlign w:val="center"/>
          </w:tcPr>
          <w:p>
            <w:pPr>
              <w:pStyle w:val="TableContents"/>
              <w:bidi w:val="0"/>
              <w:spacing w:before="0" w:after="283"/>
              <w:jc w:val="center"/>
              <w:rPr/>
            </w:pPr>
            <w:r>
              <w:rPr/>
              <w:t>Fair value measured as of December 31, 2024</w:t>
            </w:r>
          </w:p>
        </w:tc>
        <w:tc>
          <w:tcPr>
            <w:tcW w:w="85" w:type="dxa"/>
            <w:tcBorders/>
            <w:vAlign w:val="center"/>
          </w:tcPr>
          <w:p>
            <w:pPr>
              <w:pStyle w:val="TableContents"/>
              <w:bidi w:val="0"/>
              <w:spacing w:before="0" w:after="283"/>
              <w:jc w:val="left"/>
              <w:rPr/>
            </w:pPr>
            <w:r>
              <w:rPr/>
              <w:t> </w:t>
            </w:r>
          </w:p>
        </w:tc>
      </w:tr>
      <w:tr>
        <w:trPr/>
        <w:tc>
          <w:tcPr>
            <w:tcW w:w="21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Total fair </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26"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Quoted prices in active markets </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w:t>
              <w:br/>
              <w:t xml:space="preserve">other </w:t>
              <w:br/>
              <w:t xml:space="preserve">observable inputs </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41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Significant unobservable inputs </w:t>
              <w:br/>
              <w:t>(Level 3)</w:t>
            </w:r>
          </w:p>
        </w:tc>
        <w:tc>
          <w:tcPr>
            <w:tcW w:w="85" w:type="dxa"/>
            <w:tcBorders/>
            <w:vAlign w:val="center"/>
          </w:tcPr>
          <w:p>
            <w:pPr>
              <w:pStyle w:val="TableContents"/>
              <w:bidi w:val="0"/>
              <w:spacing w:before="0" w:after="283"/>
              <w:jc w:val="left"/>
              <w:rPr/>
            </w:pPr>
            <w:r>
              <w:rPr/>
              <w:t> </w:t>
            </w:r>
          </w:p>
        </w:tc>
      </w:tr>
      <w:tr>
        <w:trPr/>
        <w:tc>
          <w:tcPr>
            <w:tcW w:w="2194" w:type="dxa"/>
            <w:tcBorders/>
            <w:shd w:fill="CCEEFF" w:val="clear"/>
            <w:vAlign w:val="center"/>
          </w:tcPr>
          <w:p>
            <w:pPr>
              <w:pStyle w:val="TableContents"/>
              <w:bidi w:val="0"/>
              <w:spacing w:before="0" w:after="283"/>
              <w:jc w:val="left"/>
              <w:rPr/>
            </w:pPr>
            <w:r>
              <w:rPr/>
              <w:t>Convertible notes warrants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bookmarkStart w:id="478" w:name="xdx_98F_ecustom--ConvertibleDebtWarrants"/>
            <w:bookmarkEnd w:id="478"/>
          </w:p>
        </w:tc>
        <w:tc>
          <w:tcPr>
            <w:tcW w:w="1159" w:type="dxa"/>
            <w:tcBorders/>
            <w:shd w:fill="CCEEFF" w:val="clear"/>
            <w:vAlign w:val="center"/>
          </w:tcPr>
          <w:p>
            <w:pPr>
              <w:pStyle w:val="TableContents"/>
              <w:bidi w:val="0"/>
              <w:spacing w:before="0" w:after="283"/>
              <w:jc w:val="right"/>
              <w:rPr/>
            </w:pPr>
            <w:r>
              <w:rPr/>
              <w:t>1,448,109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w:t>
            </w:r>
            <w:bookmarkStart w:id="479" w:name="xdx_988_ecustom--ConvertibleDebtWarrants"/>
            <w:bookmarkEnd w:id="479"/>
          </w:p>
        </w:tc>
        <w:tc>
          <w:tcPr>
            <w:tcW w:w="1448"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bookmarkStart w:id="480" w:name="xdx_98F_ecustom--ConvertibleDebtWarrants"/>
            <w:bookmarkEnd w:id="480"/>
          </w:p>
        </w:tc>
        <w:tc>
          <w:tcPr>
            <w:tcW w:w="963"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481" w:name="xdx_987_ecustom--ConvertibleDebtWarrants"/>
            <w:bookmarkEnd w:id="481"/>
          </w:p>
        </w:tc>
        <w:tc>
          <w:tcPr>
            <w:tcW w:w="2108" w:type="dxa"/>
            <w:tcBorders/>
            <w:shd w:fill="CCEEFF" w:val="clear"/>
            <w:vAlign w:val="center"/>
          </w:tcPr>
          <w:p>
            <w:pPr>
              <w:pStyle w:val="TableContents"/>
              <w:bidi w:val="0"/>
              <w:spacing w:before="0" w:after="283"/>
              <w:jc w:val="right"/>
              <w:rPr/>
            </w:pPr>
            <w:r>
              <w:rPr/>
              <w:t>1,448,109</w:t>
            </w:r>
          </w:p>
        </w:tc>
        <w:tc>
          <w:tcPr>
            <w:tcW w:w="85" w:type="dxa"/>
            <w:tcBorders/>
            <w:shd w:fill="CCEEFF" w:val="clear"/>
            <w:vAlign w:val="center"/>
          </w:tcPr>
          <w:p>
            <w:pPr>
              <w:pStyle w:val="TableContents"/>
              <w:bidi w:val="0"/>
              <w:spacing w:before="0" w:after="283"/>
              <w:jc w:val="left"/>
              <w:rPr/>
            </w:pPr>
            <w:r>
              <w:rPr/>
              <w:t> </w:t>
            </w:r>
          </w:p>
        </w:tc>
      </w:tr>
      <w:tr>
        <w:trPr/>
        <w:tc>
          <w:tcPr>
            <w:tcW w:w="2194" w:type="dxa"/>
            <w:tcBorders/>
            <w:shd w:fill="FFFFFF" w:val="clear"/>
            <w:vAlign w:val="center"/>
          </w:tcPr>
          <w:p>
            <w:pPr>
              <w:pStyle w:val="TableContents"/>
              <w:bidi w:val="0"/>
              <w:spacing w:before="0" w:after="283"/>
              <w:jc w:val="left"/>
              <w:rPr/>
            </w:pPr>
            <w:r>
              <w:rPr/>
              <w:t>Equity line of credit warrants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2" w:name="xdx_98C_eus-gaap--LinesOfCreditFairValue"/>
            <w:bookmarkEnd w:id="482"/>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292,004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3" w:name="xdx_983_eus-gaap--LinesOfCreditFairValue"/>
            <w:bookmarkEnd w:id="483"/>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4" w:name="xdx_988_eus-gaap--LinesOfCreditFairValue"/>
            <w:bookmarkEnd w:id="484"/>
          </w:p>
        </w:tc>
        <w:tc>
          <w:tcPr>
            <w:tcW w:w="9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5" w:name="xdx_988_eus-gaap--LinesOfCreditFairValue"/>
            <w:bookmarkEnd w:id="485"/>
          </w:p>
        </w:tc>
        <w:tc>
          <w:tcPr>
            <w:tcW w:w="2108" w:type="dxa"/>
            <w:tcBorders>
              <w:bottom w:val="single" w:sz="8" w:space="0" w:color="000000"/>
            </w:tcBorders>
            <w:shd w:fill="FFFFFF" w:val="clear"/>
            <w:tcMar>
              <w:bottom w:w="28" w:type="dxa"/>
            </w:tcMar>
            <w:vAlign w:val="center"/>
          </w:tcPr>
          <w:p>
            <w:pPr>
              <w:pStyle w:val="TableContents"/>
              <w:bidi w:val="0"/>
              <w:spacing w:before="0" w:after="283"/>
              <w:jc w:val="right"/>
              <w:rPr/>
            </w:pPr>
            <w:r>
              <w:rPr/>
              <w:t>292,004</w:t>
            </w:r>
          </w:p>
        </w:tc>
        <w:tc>
          <w:tcPr>
            <w:tcW w:w="85" w:type="dxa"/>
            <w:tcBorders/>
            <w:shd w:fill="FFFFFF" w:val="clear"/>
            <w:vAlign w:val="center"/>
          </w:tcPr>
          <w:p>
            <w:pPr>
              <w:pStyle w:val="TableContents"/>
              <w:bidi w:val="0"/>
              <w:spacing w:before="0" w:after="283"/>
              <w:jc w:val="left"/>
              <w:rPr/>
            </w:pPr>
            <w:r>
              <w:rPr/>
              <w:t> </w:t>
            </w:r>
          </w:p>
        </w:tc>
      </w:tr>
      <w:tr>
        <w:trPr/>
        <w:tc>
          <w:tcPr>
            <w:tcW w:w="2194"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6" w:name="xdx_986_eus-gaap--FinancialLiabilitiesFa"/>
            <w:bookmarkEnd w:id="486"/>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1,740,113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7" w:name="xdx_98E_eus-gaap--FinancialLiabilitiesFa"/>
            <w:bookmarkEnd w:id="487"/>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8" w:name="xdx_981_eus-gaap--FinancialLiabilitiesFa"/>
            <w:bookmarkEnd w:id="488"/>
          </w:p>
        </w:tc>
        <w:tc>
          <w:tcPr>
            <w:tcW w:w="96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9" w:name="xdx_982_eus-gaap--FinancialLiabilitiesFa"/>
            <w:bookmarkEnd w:id="489"/>
          </w:p>
        </w:tc>
        <w:tc>
          <w:tcPr>
            <w:tcW w:w="2108" w:type="dxa"/>
            <w:tcBorders>
              <w:bottom w:val="double" w:sz="6" w:space="0" w:color="000000"/>
            </w:tcBorders>
            <w:shd w:fill="CCEEFF" w:val="clear"/>
            <w:tcMar>
              <w:bottom w:w="28" w:type="dxa"/>
            </w:tcMar>
            <w:vAlign w:val="center"/>
          </w:tcPr>
          <w:p>
            <w:pPr>
              <w:pStyle w:val="TableContents"/>
              <w:bidi w:val="0"/>
              <w:spacing w:before="0" w:after="283"/>
              <w:jc w:val="right"/>
              <w:rPr/>
            </w:pPr>
            <w:r>
              <w:rPr/>
              <w:t>1,740,113</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0" w:name="xdx_8AF_z8ZxCkuyP9A7"/>
      <w:bookmarkEnd w:id="49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91" w:name="xdx_863_zfewrVS529El"/>
      <w:bookmarkStart w:id="492" w:name="xdx_84F_eus-gaap--ImpairmentOrDisposalOf"/>
      <w:bookmarkEnd w:id="491"/>
      <w:bookmarkEnd w:id="492"/>
      <w:r>
        <w:rPr>
          <w:rFonts w:ascii="Times New Roman;Times;Serif" w:hAnsi="Times New Roman;Times;Serif"/>
          <w:b/>
          <w:i/>
          <w:caps w:val="false"/>
          <w:smallCaps w:val="false"/>
          <w:sz w:val="20"/>
        </w:rPr>
        <w:t>Amortizable Intangibles and Other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During the year ended December 31, 2025, the Company recognized impairment charges of $</w:t>
      </w:r>
      <w:bookmarkStart w:id="493" w:name="xdx_90B_eus-gaap--ImpairmentOfIntangible"/>
      <w:bookmarkEnd w:id="493"/>
      <w:r>
        <w:rPr>
          <w:rFonts w:ascii="Times New Roman;Times;Serif" w:hAnsi="Times New Roman;Times;Serif"/>
          <w:b w:val="false"/>
          <w:i w:val="false"/>
          <w:caps w:val="false"/>
          <w:smallCaps w:val="false"/>
          <w:sz w:val="20"/>
        </w:rPr>
        <w:t>451,447 related to game licenses and $</w:t>
      </w:r>
      <w:bookmarkStart w:id="494" w:name="xdx_908_eus-gaap--ImpairmentOfIntangible"/>
      <w:bookmarkEnd w:id="494"/>
      <w:r>
        <w:rPr>
          <w:rFonts w:ascii="Times New Roman;Times;Serif" w:hAnsi="Times New Roman;Times;Serif"/>
          <w:b w:val="false"/>
          <w:i w:val="false"/>
          <w:caps w:val="false"/>
          <w:smallCaps w:val="false"/>
          <w:sz w:val="20"/>
        </w:rPr>
        <w:t>216,013 related to other intangible assets based on the Company’s assessment that projected cash flows of underlying game titles were insufficient to support recovery of the carrying values. No impairment charges were recognized during the year ended December 31, 2024. Actual useful lives and cash flows could be different from those estimated by management which could have a material effect on the Company’s consolidated reporting results and financial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95" w:name="xdx_86D_zSymQnVjejdc"/>
      <w:bookmarkStart w:id="496" w:name="xdx_84B_eus-gaap--IncomeTaxPolicyTextBlo"/>
      <w:bookmarkEnd w:id="495"/>
      <w:bookmarkEnd w:id="496"/>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the tax effects of transactions reported in the Consolidated Financial Statements and consisted of taxes currently due and deferred taxes. Deferred taxes are recognized for the differences between the basis of assets and liabilities for financial statement and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As of December 31, 2025, $</w:t>
      </w:r>
      <w:bookmarkStart w:id="497" w:name="xdx_907_eus-gaap--AccruedLiabilitiesAndO"/>
      <w:bookmarkEnd w:id="497"/>
      <w:r>
        <w:rPr>
          <w:rFonts w:ascii="Times New Roman;Times;Serif" w:hAnsi="Times New Roman;Times;Serif"/>
          <w:b w:val="false"/>
          <w:i w:val="false"/>
          <w:caps w:val="false"/>
          <w:smallCaps w:val="false"/>
          <w:sz w:val="20"/>
        </w:rPr>
        <w:t>157,247 is included in accrued expenses and other liabilities, and $</w:t>
      </w:r>
      <w:bookmarkStart w:id="498" w:name="xdx_90B_ecustom--LiabilityForUncertainty"/>
      <w:bookmarkEnd w:id="498"/>
      <w:r>
        <w:rPr>
          <w:rFonts w:ascii="Times New Roman;Times;Serif" w:hAnsi="Times New Roman;Times;Serif"/>
          <w:b w:val="false"/>
          <w:i w:val="false"/>
          <w:caps w:val="false"/>
          <w:smallCaps w:val="false"/>
          <w:sz w:val="20"/>
        </w:rPr>
        <w:t>468,106 is included in the long-term accrued expenses, compared to $</w:t>
      </w:r>
      <w:bookmarkStart w:id="499" w:name="xdx_908_ecustom--LiabilityForUncertainty"/>
      <w:bookmarkEnd w:id="499"/>
      <w:r>
        <w:rPr>
          <w:rFonts w:ascii="Times New Roman;Times;Serif" w:hAnsi="Times New Roman;Times;Serif"/>
          <w:b w:val="false"/>
          <w:i w:val="false"/>
          <w:caps w:val="false"/>
          <w:smallCaps w:val="false"/>
          <w:sz w:val="20"/>
        </w:rPr>
        <w:t>265,251 in long-term accrued expenses as of December 31, 2024, on the accompanying consolidated balance sheets. The Company accrues and recognizes interest and penalties related to unrecognized tax benefits in operating expenses.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00" w:name="xdx_867_zI47fkqSqRB8"/>
      <w:bookmarkStart w:id="501" w:name="xdx_840_eus-gaap--ConcentrationRiskCredi"/>
      <w:bookmarkEnd w:id="500"/>
      <w:bookmarkEnd w:id="501"/>
      <w:r>
        <w:rPr>
          <w:rFonts w:ascii="Times New Roman;Times;Serif" w:hAnsi="Times New Roman;Times;Serif"/>
          <w:b/>
          <w:i/>
          <w:caps w:val="false"/>
          <w:smallCaps w:val="false"/>
          <w:sz w:val="20"/>
        </w:rPr>
        <w:t>Concentration of Credit Risk and Significant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at several major financial institutions. While the Company attempts to limit credit exposure with any single institution, balances often exceed insurable amounts. As of December 31, 2025 and 2024, the Company had deposits of $</w:t>
      </w:r>
      <w:bookmarkStart w:id="502" w:name="xdx_904_eus-gaap--CashUninsuredAmount_iI"/>
      <w:bookmarkEnd w:id="502"/>
      <w:r>
        <w:rPr>
          <w:rFonts w:ascii="Times New Roman;Times;Serif" w:hAnsi="Times New Roman;Times;Serif"/>
          <w:b w:val="false"/>
          <w:i w:val="false"/>
          <w:caps w:val="false"/>
          <w:smallCaps w:val="false"/>
          <w:sz w:val="20"/>
        </w:rPr>
        <w:t>8,619,889 and $</w:t>
      </w:r>
      <w:bookmarkStart w:id="503" w:name="xdx_907_eus-gaap--CashUninsuredAmount_iI"/>
      <w:bookmarkEnd w:id="503"/>
      <w:r>
        <w:rPr>
          <w:rFonts w:ascii="Times New Roman;Times;Serif" w:hAnsi="Times New Roman;Times;Serif"/>
          <w:b w:val="false"/>
          <w:i w:val="false"/>
          <w:caps w:val="false"/>
          <w:smallCaps w:val="false"/>
          <w:sz w:val="20"/>
        </w:rPr>
        <w:t>6,610,066, respectively, that were not insured by the Federal Deposit Insurance Corporation and are included in the cash and cash equivalents, and restricted cash and cash equivalents,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extends credit to various digital resellers and partners. Collection of trade receivables may be affected by changes in economic or other industry conditions and may, accordingly, impact the Company’s overall credit risk. The Company does not require collateral or other security to support financial instruments subject to credit risk. The Company performs ongoing credit evaluations of customers and maintains reserves for potentially uncollectible accounts. The Company has two customers as of December 31, 2025 and four customers as of December 31, 2024, who accounted for approximately </w:t>
      </w:r>
      <w:bookmarkStart w:id="504" w:name="xdx_903_eus-gaap--ConcentrationRiskPerce"/>
      <w:bookmarkEnd w:id="504"/>
      <w:r>
        <w:rPr>
          <w:rFonts w:ascii="Times New Roman;Times;Serif" w:hAnsi="Times New Roman;Times;Serif"/>
          <w:b w:val="false"/>
          <w:i w:val="false"/>
          <w:caps w:val="false"/>
          <w:smallCaps w:val="false"/>
          <w:sz w:val="20"/>
        </w:rPr>
        <w:t xml:space="preserve">73% and </w:t>
      </w:r>
      <w:bookmarkStart w:id="505" w:name="xdx_907_eus-gaap--ConcentrationRiskPerce"/>
      <w:bookmarkEnd w:id="505"/>
      <w:r>
        <w:rPr>
          <w:rFonts w:ascii="Times New Roman;Times;Serif" w:hAnsi="Times New Roman;Times;Serif"/>
          <w:b w:val="false"/>
          <w:i w:val="false"/>
          <w:caps w:val="false"/>
          <w:smallCaps w:val="false"/>
          <w:sz w:val="20"/>
        </w:rPr>
        <w:t xml:space="preserve">85% of consolidated gross receivables, respectively. Among the two customers as of December 31, 2025, one accounted for </w:t>
      </w:r>
      <w:bookmarkStart w:id="506" w:name="xdx_90C_eus-gaap--ConcentrationRiskPerce"/>
      <w:bookmarkEnd w:id="506"/>
      <w:r>
        <w:rPr>
          <w:rFonts w:ascii="Times New Roman;Times;Serif" w:hAnsi="Times New Roman;Times;Serif"/>
          <w:b w:val="false"/>
          <w:i w:val="false"/>
          <w:caps w:val="false"/>
          <w:smallCaps w:val="false"/>
          <w:sz w:val="20"/>
        </w:rPr>
        <w:t xml:space="preserve">56% and another accounted for </w:t>
      </w:r>
      <w:bookmarkStart w:id="507" w:name="xdx_901_eus-gaap--ConcentrationRiskPerce"/>
      <w:bookmarkEnd w:id="507"/>
      <w:r>
        <w:rPr>
          <w:rFonts w:ascii="Times New Roman;Times;Serif" w:hAnsi="Times New Roman;Times;Serif"/>
          <w:b w:val="false"/>
          <w:i w:val="false"/>
          <w:caps w:val="false"/>
          <w:smallCaps w:val="false"/>
          <w:sz w:val="20"/>
        </w:rPr>
        <w:t xml:space="preserve">17%, of the consolidated gross receivables, as of December 31, 2025. Among the four customers as of December 31, 2024, one customer accounted for </w:t>
      </w:r>
      <w:bookmarkStart w:id="508" w:name="xdx_90B_eus-gaap--ConcentrationRiskPerce"/>
      <w:bookmarkEnd w:id="508"/>
      <w:r>
        <w:rPr>
          <w:rFonts w:ascii="Times New Roman;Times;Serif" w:hAnsi="Times New Roman;Times;Serif"/>
          <w:b w:val="false"/>
          <w:i w:val="false"/>
          <w:caps w:val="false"/>
          <w:smallCaps w:val="false"/>
          <w:sz w:val="20"/>
        </w:rPr>
        <w:t xml:space="preserve">42%, and other customers accounted for </w:t>
      </w:r>
      <w:bookmarkStart w:id="509" w:name="xdx_900_eus-gaap--ConcentrationRiskPerce"/>
      <w:bookmarkEnd w:id="509"/>
      <w:r>
        <w:rPr>
          <w:rFonts w:ascii="Times New Roman;Times;Serif" w:hAnsi="Times New Roman;Times;Serif"/>
          <w:b w:val="false"/>
          <w:i w:val="false"/>
          <w:caps w:val="false"/>
          <w:smallCaps w:val="false"/>
          <w:sz w:val="20"/>
        </w:rPr>
        <w:t xml:space="preserve">19%, </w:t>
      </w:r>
      <w:bookmarkStart w:id="510" w:name="xdx_907_eus-gaap--ConcentrationRiskPerce"/>
      <w:bookmarkEnd w:id="510"/>
      <w:r>
        <w:rPr>
          <w:rFonts w:ascii="Times New Roman;Times;Serif" w:hAnsi="Times New Roman;Times;Serif"/>
          <w:b w:val="false"/>
          <w:i w:val="false"/>
          <w:caps w:val="false"/>
          <w:smallCaps w:val="false"/>
          <w:sz w:val="20"/>
        </w:rPr>
        <w:t xml:space="preserve">14% and </w:t>
      </w:r>
      <w:bookmarkStart w:id="511" w:name="xdx_907_eus-gaap--ConcentrationRiskPerce"/>
      <w:bookmarkEnd w:id="511"/>
      <w:r>
        <w:rPr>
          <w:rFonts w:ascii="Times New Roman;Times;Serif" w:hAnsi="Times New Roman;Times;Serif"/>
          <w:b w:val="false"/>
          <w:i w:val="false"/>
          <w:caps w:val="false"/>
          <w:smallCaps w:val="false"/>
          <w:sz w:val="20"/>
        </w:rPr>
        <w:t xml:space="preserve">10% as of December 31, 2024 of the consolidated gross receivables outstanding. The Company had three customers in the year ended December 31, 2025, and four customers in the year ended December 31, 2024, that accounted for </w:t>
      </w:r>
      <w:bookmarkStart w:id="512" w:name="xdx_904_eus-gaap--ConcentrationRiskPerce"/>
      <w:bookmarkEnd w:id="512"/>
      <w:r>
        <w:rPr>
          <w:rFonts w:ascii="Times New Roman;Times;Serif" w:hAnsi="Times New Roman;Times;Serif"/>
          <w:b w:val="false"/>
          <w:i w:val="false"/>
          <w:caps w:val="false"/>
          <w:smallCaps w:val="false"/>
          <w:sz w:val="20"/>
        </w:rPr>
        <w:t xml:space="preserve">49%, </w:t>
      </w:r>
      <w:bookmarkStart w:id="513" w:name="xdx_902_eus-gaap--ConcentrationRiskPerce"/>
      <w:bookmarkEnd w:id="513"/>
      <w:r>
        <w:rPr>
          <w:rFonts w:ascii="Times New Roman;Times;Serif" w:hAnsi="Times New Roman;Times;Serif"/>
          <w:b w:val="false"/>
          <w:i w:val="false"/>
          <w:caps w:val="false"/>
          <w:smallCaps w:val="false"/>
          <w:sz w:val="20"/>
        </w:rPr>
        <w:t xml:space="preserve">15%, </w:t>
      </w:r>
      <w:bookmarkStart w:id="514" w:name="xdx_907_eus-gaap--ConcentrationRiskPerce"/>
      <w:bookmarkEnd w:id="514"/>
      <w:r>
        <w:rPr>
          <w:rFonts w:ascii="Times New Roman;Times;Serif" w:hAnsi="Times New Roman;Times;Serif"/>
          <w:b w:val="false"/>
          <w:i w:val="false"/>
          <w:caps w:val="false"/>
          <w:smallCaps w:val="false"/>
          <w:sz w:val="20"/>
        </w:rPr>
        <w:t xml:space="preserve">12%, and </w:t>
      </w:r>
      <w:bookmarkStart w:id="515" w:name="xdx_905_eus-gaap--ConcentrationRiskPerce"/>
      <w:bookmarkEnd w:id="515"/>
      <w:r>
        <w:rPr>
          <w:rFonts w:ascii="Times New Roman;Times;Serif" w:hAnsi="Times New Roman;Times;Serif"/>
          <w:b w:val="false"/>
          <w:i w:val="false"/>
          <w:caps w:val="false"/>
          <w:smallCaps w:val="false"/>
          <w:sz w:val="20"/>
        </w:rPr>
        <w:t xml:space="preserve">46%, </w:t>
      </w:r>
      <w:bookmarkStart w:id="516" w:name="xdx_900_eus-gaap--ConcentrationRiskPerce"/>
      <w:bookmarkEnd w:id="516"/>
      <w:r>
        <w:rPr>
          <w:rFonts w:ascii="Times New Roman;Times;Serif" w:hAnsi="Times New Roman;Times;Serif"/>
          <w:b w:val="false"/>
          <w:i w:val="false"/>
          <w:caps w:val="false"/>
          <w:smallCaps w:val="false"/>
          <w:sz w:val="20"/>
        </w:rPr>
        <w:t xml:space="preserve">15%, </w:t>
      </w:r>
      <w:bookmarkStart w:id="517" w:name="xdx_907_eus-gaap--ConcentrationRiskPerce"/>
      <w:bookmarkEnd w:id="517"/>
      <w:r>
        <w:rPr>
          <w:rFonts w:ascii="Times New Roman;Times;Serif" w:hAnsi="Times New Roman;Times;Serif"/>
          <w:b w:val="false"/>
          <w:i w:val="false"/>
          <w:caps w:val="false"/>
          <w:smallCaps w:val="false"/>
          <w:sz w:val="20"/>
        </w:rPr>
        <w:t xml:space="preserve">14%, and </w:t>
      </w:r>
      <w:bookmarkStart w:id="518" w:name="xdx_902_eus-gaap--ConcentrationRiskPerce"/>
      <w:bookmarkEnd w:id="518"/>
      <w:r>
        <w:rPr>
          <w:rFonts w:ascii="Times New Roman;Times;Serif" w:hAnsi="Times New Roman;Times;Serif"/>
          <w:b w:val="false"/>
          <w:i w:val="false"/>
          <w:caps w:val="false"/>
          <w:smallCaps w:val="false"/>
          <w:sz w:val="20"/>
        </w:rPr>
        <w:t>11% of the Company’s net revenue, respectively. The loss of these customers or declines in the forecasts of their accounts receivable collectability would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one vendor who accounted for approximately </w:t>
      </w:r>
      <w:bookmarkStart w:id="519" w:name="xdx_90E_eus-gaap--ConcentrationRiskPerce"/>
      <w:bookmarkEnd w:id="519"/>
      <w:r>
        <w:rPr>
          <w:rFonts w:ascii="Times New Roman;Times;Serif" w:hAnsi="Times New Roman;Times;Serif"/>
          <w:b w:val="false"/>
          <w:i w:val="false"/>
          <w:caps w:val="false"/>
          <w:smallCaps w:val="false"/>
          <w:sz w:val="20"/>
        </w:rPr>
        <w:t xml:space="preserve">41% of consolidated gross payables, respectively, and as of December 31, 2024 the Company had one vendor who accounted for approximately </w:t>
      </w:r>
      <w:bookmarkStart w:id="520" w:name="xdx_901_eus-gaap--ConcentrationRiskPerce"/>
      <w:bookmarkEnd w:id="520"/>
      <w:r>
        <w:rPr>
          <w:rFonts w:ascii="Times New Roman;Times;Serif" w:hAnsi="Times New Roman;Times;Serif"/>
          <w:b w:val="false"/>
          <w:i w:val="false"/>
          <w:caps w:val="false"/>
          <w:smallCaps w:val="false"/>
          <w:sz w:val="20"/>
        </w:rPr>
        <w:t>36% of consolidated gross payables. The loss of these vendors could have a significant impact on the Company’s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vendor, SDE, Inc., a related party, that accounted for </w:t>
      </w:r>
      <w:bookmarkStart w:id="521" w:name="xdx_908_eus-gaap--ConcentrationRiskPerce"/>
      <w:bookmarkEnd w:id="521"/>
      <w:r>
        <w:rPr>
          <w:rFonts w:ascii="Times New Roman;Times;Serif" w:hAnsi="Times New Roman;Times;Serif"/>
          <w:b w:val="false"/>
          <w:i w:val="false"/>
          <w:caps w:val="false"/>
          <w:smallCaps w:val="false"/>
          <w:sz w:val="20"/>
        </w:rPr>
        <w:t xml:space="preserve">48% and </w:t>
      </w:r>
      <w:bookmarkStart w:id="522" w:name="xdx_901_eus-gaap--ConcentrationRiskPerce"/>
      <w:bookmarkEnd w:id="522"/>
      <w:r>
        <w:rPr>
          <w:rFonts w:ascii="Times New Roman;Times;Serif" w:hAnsi="Times New Roman;Times;Serif"/>
          <w:b w:val="false"/>
          <w:i w:val="false"/>
          <w:caps w:val="false"/>
          <w:smallCaps w:val="false"/>
          <w:sz w:val="20"/>
        </w:rPr>
        <w:t>55% of the Company’s combined cost of revenues and operating expenses during the years ended December 31, 2025 and 2024, respectively. Amounts payable to SDE are included in accounts payable – related parties and accounts receivable – related party in the consolidated balance sheets as of December 31, 2025 and 2024, respectively. The loss of SDE as a vendor would significantly and adversely affect the Company’s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23" w:name="xdx_866_zG4AyGW9uE9"/>
      <w:bookmarkStart w:id="524" w:name="xdx_84D_eus-gaap--LesseeLeasesPolicyText"/>
      <w:bookmarkEnd w:id="523"/>
      <w:bookmarkEnd w:id="524"/>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relating primarily to office facilities. The Company determines if an arrangement is or contains a lease at contract inception. Right-of-use assets represent the Company’s right to use an underlying asset for the lease term, and lease liabilities represent the Company’s obligation to make lease payments arising from the lease. The lease liability is measured as the present value of the unpaid lease payments, and the right-of-use asset value is derived from the calculation of the lease liability. Lease payments include fixed and in-substance fixed payments, variable payments based on the level of services provided by the landlords of our leases, reasonably certain purchase options, and termination penalties. Variable lease payments related to the services provided by the landlords are non-lease components that are recognized as rent expenses as incurred. For leased assets with similar lease terms and asset types, the Company applied a portfolio approach in determining a single incremental borrowing rate for the leased assets. The Company uses its estimated incremental borrowing rate, which is derived from information available at the lease commencement date, in determining the present value of lease payments because the Company does not have the information necessary to determine the rate implicit in the lease. Lease expense for operating lease payments is recognized on a straight-line basis over the lease term. The Company’s lease term includes any option to extend the lease when it is reasonably certain to be exercised based on considering all relevant factors. Leases with an initial term of 12 months or less are not recorded on the consolidated balance sheets and the Company recognizes lease expense for these leases on a straight-line basis over the lease term. Operating leases are included in operating lease right-of-use assets, net, current portion of operating lease liabilities, and operating lease liabilities, net of current portion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25" w:name="xdx_864_zkHCjoBX2O6k"/>
      <w:bookmarkStart w:id="526" w:name="xdx_84B_eus-gaap--NewAccountingPronounce"/>
      <w:bookmarkEnd w:id="525"/>
      <w:bookmarkEnd w:id="526"/>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and the Company has adopted this standard as of the effective date. See Note 13 – Income Taxes for required additional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w:t>
      </w:r>
      <w:r>
        <w:rPr>
          <w:rFonts w:ascii="Times New Roman;Times;Serif" w:hAnsi="Times New Roman;Times;Serif"/>
          <w:b w:val="false"/>
          <w:i w:val="false"/>
          <w:caps w:val="false"/>
          <w:smallCaps w:val="false"/>
          <w:sz w:val="20"/>
        </w:rPr>
        <w:t>, provides a practical expedient for measuring expected credit losses on current receivables and contract assets. The amendments in this update are effected for annual reporting periods beginning after December 15, 2025, and interim reporting periods within those annual reporting periods. The Company elected to early adopt this standard prospectively during the year ended December 31, 2025. The adoption of this standard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27" w:name="xdx_865_zarwQGlyt5Od"/>
      <w:bookmarkStart w:id="528" w:name="xdx_84C_ecustom--RecentlyIssuedAccountin"/>
      <w:bookmarkEnd w:id="527"/>
      <w:bookmarkEnd w:id="528"/>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 – Reporting Comprehensive Income – Expense Disaggregation Disclosures (Subtopic 220-40): Disaggregation of Income Statement Expenses, </w:t>
      </w:r>
      <w:r>
        <w:rPr>
          <w:rFonts w:ascii="Times New Roman;Times;Serif" w:hAnsi="Times New Roman;Times;Serif"/>
          <w:b w:val="false"/>
          <w:i w:val="false"/>
          <w:caps w:val="false"/>
          <w:smallCaps w:val="false"/>
          <w:sz w:val="20"/>
        </w:rPr>
        <w:t>to improve the disclosures about a public business entity’s expenses and address requests from investors for more detailed information about the types 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2024-04, </w:t>
      </w:r>
      <w:r>
        <w:rPr>
          <w:rFonts w:ascii="Times New Roman;Times;Serif" w:hAnsi="Times New Roman;Times;Serif"/>
          <w:b w:val="false"/>
          <w:i/>
          <w:caps w:val="false"/>
          <w:smallCaps w:val="false"/>
          <w:sz w:val="20"/>
        </w:rPr>
        <w:t xml:space="preserve">Debt – Debt with Conversion and Other Options (Subtopic 470-20): Induced Conversions of Convertible Debt Instruments, </w:t>
      </w:r>
      <w:r>
        <w:rPr>
          <w:rFonts w:ascii="Times New Roman;Times;Serif" w:hAnsi="Times New Roman;Times;Serif"/>
          <w:b w:val="false"/>
          <w:i w:val="false"/>
          <w:caps w:val="false"/>
          <w:smallCaps w:val="false"/>
          <w:sz w:val="20"/>
        </w:rPr>
        <w:t>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those annual periods. Early adoption is permitted for all entities that have adopted the amendments in update 2020-06.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 xml:space="preserve">Intangibles – Goodwill and Other – Internal-Use Software (Subtopic 350-40): </w:t>
      </w:r>
      <w:r>
        <w:rPr>
          <w:rFonts w:ascii="Times New Roman;Times;Serif" w:hAnsi="Times New Roman;Times;Serif"/>
          <w:b w:val="false"/>
          <w:i w:val="false"/>
          <w:caps w:val="false"/>
          <w:smallCaps w:val="false"/>
          <w:sz w:val="20"/>
        </w:rPr>
        <w:t>streamlines guidance for internal-use software costs by removing development stage references, incorporating website development costs, and clarifying when capitalization should begin. The amendments in this update are effected for annual reporting periods beginning after December 15, 2027, and interim reporting periods within those annual reporting periods.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 xml:space="preserve">Interim Reporting – Narrow-Scope Improvements (Topic 270): </w:t>
      </w:r>
      <w:r>
        <w:rPr>
          <w:rFonts w:ascii="Times New Roman;Times;Serif" w:hAnsi="Times New Roman;Times;Serif"/>
          <w:b w:val="false"/>
          <w:i w:val="false"/>
          <w:caps w:val="false"/>
          <w:smallCaps w:val="false"/>
          <w:sz w:val="20"/>
        </w:rPr>
        <w:t>improves and clarifies existing interim reporting guidance and requires disclosure of material subsequent events in interim periods. The amendments in this update are effective for interim periods with annual reporting periods beginning after December 15, 2027, with early adoption being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 xml:space="preserve">Codification Improvements: </w:t>
      </w:r>
      <w:r>
        <w:rPr>
          <w:rFonts w:ascii="Times New Roman;Times;Serif" w:hAnsi="Times New Roman;Times;Serif"/>
          <w:b w:val="false"/>
          <w:i w:val="false"/>
          <w:caps w:val="false"/>
          <w:smallCaps w:val="false"/>
          <w:sz w:val="20"/>
        </w:rPr>
        <w:t>to improve technical corrections and clarifications to various topics in the Accounting Standards Codification. The amendments in this update are effective for annual reporting periods beginning after December 15, 2026, with early adoption being permitted. The Company is evaluating the impact of adopting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29" w:name="xdx_86F_zmBc41qOYBKa"/>
      <w:bookmarkStart w:id="530" w:name="xdx_847_ecustom--EmployeeSavingPlansPoli"/>
      <w:bookmarkEnd w:id="529"/>
      <w:bookmarkEnd w:id="530"/>
      <w:r>
        <w:rPr>
          <w:rFonts w:ascii="Times New Roman;Times;Serif" w:hAnsi="Times New Roman;Times;Serif"/>
          <w:b/>
          <w:i/>
          <w:caps w:val="false"/>
          <w:smallCaps w:val="false"/>
          <w:sz w:val="20"/>
        </w:rPr>
        <w:t>Employee Savings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401(k) for its United States based employees. The plan is offered to all eligible employees to make voluntary contributions. Employer contributions to the plan are reported under general and administrative costs in the amounts of $</w:t>
      </w:r>
      <w:bookmarkStart w:id="531" w:name="xdx_909_eus-gaap--DefinedBenefitPlanCont"/>
      <w:bookmarkEnd w:id="531"/>
      <w:r>
        <w:rPr>
          <w:rFonts w:ascii="Times New Roman;Times;Serif" w:hAnsi="Times New Roman;Times;Serif"/>
          <w:b w:val="false"/>
          <w:i w:val="false"/>
          <w:caps w:val="false"/>
          <w:smallCaps w:val="false"/>
          <w:sz w:val="20"/>
        </w:rPr>
        <w:t>132,423 and $</w:t>
      </w:r>
      <w:bookmarkStart w:id="532" w:name="xdx_90F_eus-gaap--DefinedBenefitPlanCont"/>
      <w:bookmarkEnd w:id="532"/>
      <w:r>
        <w:rPr>
          <w:rFonts w:ascii="Times New Roman;Times;Serif" w:hAnsi="Times New Roman;Times;Serif"/>
          <w:b w:val="false"/>
          <w:i w:val="false"/>
          <w:caps w:val="false"/>
          <w:smallCaps w:val="false"/>
          <w:sz w:val="20"/>
        </w:rPr>
        <w:t>102,406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33" w:name="xdx_866_zcajsOCMci77"/>
      <w:bookmarkStart w:id="534" w:name="xdx_84F_eus-gaap--CompensationRelatedCos"/>
      <w:bookmarkEnd w:id="533"/>
      <w:bookmarkEnd w:id="534"/>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granted </w:t>
      </w:r>
      <w:bookmarkStart w:id="535" w:name="xdx_90F_eus-gaap--ShareBasedCompensation"/>
      <w:bookmarkEnd w:id="535"/>
      <w:r>
        <w:rPr>
          <w:rFonts w:ascii="Times New Roman;Times;Serif" w:hAnsi="Times New Roman;Times;Serif"/>
          <w:b w:val="false"/>
          <w:i w:val="false"/>
          <w:caps w:val="false"/>
          <w:smallCaps w:val="false"/>
          <w:sz w:val="20"/>
        </w:rPr>
        <w:t xml:space="preserve">337,774 restricted stock units (“Restricted Stock Units” or “restricted stock units”) during the year ended December 31, 2025 to its non-employee directors and did </w:t>
      </w:r>
      <w:bookmarkStart w:id="536" w:name="xdx_90C_eus-gaap--ShareBasedCompensation"/>
      <w:bookmarkEnd w:id="536"/>
      <w:r>
        <w:rPr>
          <w:rFonts w:ascii="Times New Roman;Times;Serif" w:hAnsi="Times New Roman;Times;Serif"/>
          <w:b w:val="false"/>
          <w:i w:val="false"/>
          <w:caps w:val="false"/>
          <w:smallCaps w:val="false"/>
          <w:sz w:val="20"/>
        </w:rPr>
        <w:t>not grant any restricted stock units during the year ended December 31, 2024. The fair value of Restricted Stock Units is determined based on the quoted market price of the Company’s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2022 Omnibus Incentive Plan (the “2022 Plan”) became effective upon the consummation of the IPO. The 2022 Omnibus Incentive allows us to grant options to purchase the Company’s common stock and to grant stock options, stock appreciation rights, restricted stock, restricted stock units and performance awards and other cash-based awards and other stock-based awards to our employees, officers, and directors, up to a maximum of </w:t>
      </w:r>
      <w:bookmarkStart w:id="537" w:name="xdx_908_eus-gaap--ShareBasedCompensation"/>
      <w:bookmarkEnd w:id="537"/>
      <w:r>
        <w:rPr>
          <w:rFonts w:ascii="Times New Roman;Times;Serif" w:hAnsi="Times New Roman;Times;Serif"/>
          <w:b w:val="false"/>
          <w:i w:val="false"/>
          <w:caps w:val="false"/>
          <w:smallCaps w:val="false"/>
          <w:sz w:val="20"/>
        </w:rPr>
        <w:t xml:space="preserve">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w:t>
      </w:r>
      <w:bookmarkStart w:id="538" w:name="xdx_90E_eus-gaap--CommonStockCapitalShar"/>
      <w:bookmarkEnd w:id="538"/>
      <w:r>
        <w:rPr>
          <w:rFonts w:ascii="Times New Roman;Times;Serif" w:hAnsi="Times New Roman;Times;Serif"/>
          <w:b w:val="false"/>
          <w:i w:val="false"/>
          <w:caps w:val="false"/>
          <w:smallCaps w:val="false"/>
          <w:sz w:val="20"/>
        </w:rPr>
        <w:t xml:space="preserve">5,718,000 shares, (b) </w:t>
      </w:r>
      <w:bookmarkStart w:id="539" w:name="xdx_90B_ecustom--ShareBasedCompensationA"/>
      <w:bookmarkEnd w:id="539"/>
      <w:r>
        <w:rPr>
          <w:rFonts w:ascii="Times New Roman;Times;Serif" w:hAnsi="Times New Roman;Times;Serif"/>
          <w:b w:val="false"/>
          <w:i w:val="false"/>
          <w:caps w:val="false"/>
          <w:smallCaps w:val="false"/>
          <w:sz w:val="20"/>
        </w:rPr>
        <w:t xml:space="preserve">1% of the shares of the Company’s Class B common stock outstanding (on a fully diluted basis) on the final day of the immediately preceding calendar year or (c) such smaller number of shares as determined by the Company’s board of directors. As of December 31, 2025 and December 31, 2024, there were </w:t>
      </w:r>
      <w:bookmarkStart w:id="540" w:name="xdx_90F_eus-gaap--CommonStockCapitalShar"/>
      <w:bookmarkEnd w:id="540"/>
      <w:r>
        <w:rPr>
          <w:rFonts w:ascii="Times New Roman;Times;Serif" w:hAnsi="Times New Roman;Times;Serif"/>
          <w:b w:val="false"/>
          <w:i w:val="false"/>
          <w:caps w:val="false"/>
          <w:smallCaps w:val="false"/>
          <w:sz w:val="20"/>
        </w:rPr>
        <w:t xml:space="preserve">4,185,390 and </w:t>
      </w:r>
      <w:bookmarkStart w:id="541" w:name="xdx_900_eus-gaap--CommonStockCapitalShar"/>
      <w:bookmarkEnd w:id="541"/>
      <w:r>
        <w:rPr>
          <w:rFonts w:ascii="Times New Roman;Times;Serif" w:hAnsi="Times New Roman;Times;Serif"/>
          <w:b w:val="false"/>
          <w:i w:val="false"/>
          <w:caps w:val="false"/>
          <w:smallCaps w:val="false"/>
          <w:sz w:val="20"/>
        </w:rPr>
        <w:t>4,508,239 shares reserved for issuance under the 2022 Plan,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42" w:name="xdx_869_z6wWh5qRIfP3"/>
      <w:bookmarkStart w:id="543" w:name="xdx_844_ecustom--RestrictedStockUnitsPol"/>
      <w:bookmarkEnd w:id="542"/>
      <w:bookmarkEnd w:id="543"/>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44" w:name="xdx_866_zpNqEiguIPE6"/>
      <w:bookmarkStart w:id="545" w:name="xdx_845_ecustom--WarrantsPolicyTextBlock"/>
      <w:bookmarkEnd w:id="544"/>
      <w:bookmarkEnd w:id="545"/>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Warrant liabilities are presented within accrued expenses and other liabilities on the consolidated balance sheets. Changes in the estimated fair value of the Warrants are recognized as a non-cash gain or loss in other income (expense) on the statements of operations and comprehensive income (loss). Each of the outstanding warrants is convertible on a one-for-one basis into the Company’s common stock and are fully exercisable as of December 31, 2025. A summary of our outstanding warrants as of December 31, 2025 is included below:</w:t>
      </w:r>
    </w:p>
    <w:p>
      <w:pPr>
        <w:pStyle w:val="TextBody"/>
        <w:bidi w:val="0"/>
        <w:spacing w:before="0" w:after="0"/>
        <w:ind w:left="0" w:right="0" w:hanging="0"/>
        <w:jc w:val="both"/>
        <w:rPr>
          <w:caps w:val="false"/>
          <w:smallCaps w:val="false"/>
        </w:rPr>
      </w:pPr>
      <w:bookmarkStart w:id="546" w:name="xdx_89D_ecustom--ScheduleOfOutstandingWa"/>
      <w:bookmarkEnd w:id="546"/>
      <w:r>
        <w:rPr>
          <w:caps w:val="false"/>
          <w:smallCaps w:val="false"/>
        </w:rPr>
        <w:t> </w:t>
      </w:r>
      <w:bookmarkStart w:id="547" w:name="xdx_8B4_zMH3SHI8Nkb6"/>
      <w:bookmarkEnd w:id="547"/>
      <w:r>
        <w:rPr>
          <w:rFonts w:ascii="Times New Roman;Times;Serif" w:hAnsi="Times New Roman;Times;Serif"/>
          <w:b w:val="false"/>
          <w:i w:val="false"/>
          <w:caps w:val="false"/>
          <w:smallCaps w:val="false"/>
          <w:sz w:val="20"/>
        </w:rPr>
        <w:t>SUMMARY OF OUTSTANDING WARRANTS </w:t>
      </w:r>
    </w:p>
    <w:tbl>
      <w:tblPr>
        <w:tblW w:w="9548" w:type="dxa"/>
        <w:jc w:val="left"/>
        <w:tblInd w:w="0" w:type="dxa"/>
        <w:tblLayout w:type="fixed"/>
        <w:tblCellMar>
          <w:top w:w="0" w:type="dxa"/>
          <w:left w:w="0" w:type="dxa"/>
          <w:bottom w:w="0" w:type="dxa"/>
          <w:right w:w="0" w:type="dxa"/>
        </w:tblCellMar>
      </w:tblPr>
      <w:tblGrid>
        <w:gridCol w:w="2780"/>
        <w:gridCol w:w="60"/>
        <w:gridCol w:w="125"/>
        <w:gridCol w:w="2069"/>
        <w:gridCol w:w="60"/>
        <w:gridCol w:w="60"/>
        <w:gridCol w:w="352"/>
        <w:gridCol w:w="1107"/>
        <w:gridCol w:w="60"/>
        <w:gridCol w:w="60"/>
        <w:gridCol w:w="815"/>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278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48" w:name="xdx_98F_eus-gaap--ClassOfWarrantOrRightO"/>
            <w:bookmarkEnd w:id="548"/>
          </w:p>
        </w:tc>
        <w:tc>
          <w:tcPr>
            <w:tcW w:w="2069"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bookmarkStart w:id="549" w:name="xdx_907_eus-gaap--ClassOfWarrantOrRightE"/>
            <w:bookmarkEnd w:id="549"/>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Liability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50" w:name="xdx_908_eus-gaap--WarrantsAndRightsOutst"/>
            <w:bookmarkEnd w:id="550"/>
            <w:r>
              <w:rPr/>
              <w:t>August 24, 2028</w:t>
            </w:r>
          </w:p>
        </w:tc>
      </w:tr>
      <w:tr>
        <w:trPr/>
        <w:tc>
          <w:tcPr>
            <w:tcW w:w="278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1" w:name="xdx_988_eus-gaap--ClassOfWarrantOrRightO"/>
            <w:bookmarkEnd w:id="551"/>
          </w:p>
        </w:tc>
        <w:tc>
          <w:tcPr>
            <w:tcW w:w="2069" w:type="dxa"/>
            <w:tcBorders>
              <w:bottom w:val="single" w:sz="8" w:space="0" w:color="000000"/>
            </w:tcBorders>
            <w:shd w:fill="FFFFFF" w:val="clear"/>
            <w:tcMar>
              <w:bottom w:w="28" w:type="dxa"/>
            </w:tcMar>
            <w:vAlign w:val="center"/>
          </w:tcPr>
          <w:p>
            <w:pPr>
              <w:pStyle w:val="TableContents"/>
              <w:bidi w:val="0"/>
              <w:spacing w:before="0" w:after="283"/>
              <w:jc w:val="right"/>
              <w:rPr/>
            </w:pPr>
            <w:r>
              <w:rPr/>
              <w:t>1,216,185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bookmarkStart w:id="552" w:name="xdx_90B_eus-gaap--ClassOfWarrantOrRightE"/>
            <w:bookmarkEnd w:id="552"/>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Liability</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bookmarkStart w:id="553" w:name="xdx_901_eus-gaap--WarrantsAndRightsOutst"/>
            <w:bookmarkEnd w:id="553"/>
            <w:r>
              <w:rPr/>
              <w:t>November 24, 2028</w:t>
            </w:r>
          </w:p>
        </w:tc>
      </w:tr>
      <w:tr>
        <w:trPr/>
        <w:tc>
          <w:tcPr>
            <w:tcW w:w="2780" w:type="dxa"/>
            <w:tcBorders/>
            <w:shd w:fill="CCEEFF" w:val="clear"/>
            <w:vAlign w:val="center"/>
          </w:tcPr>
          <w:p>
            <w:pPr>
              <w:pStyle w:val="TableContents"/>
              <w:bidi w:val="0"/>
              <w:spacing w:before="0" w:after="283"/>
              <w:jc w:val="left"/>
              <w:rPr>
                <w:b/>
              </w:rPr>
            </w:pPr>
            <w:r>
              <w:rPr>
                <w:b/>
              </w:rPr>
              <w:t>Total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4" w:name="xdx_981_eus-gaap--ClassOfWarrantOrRightO"/>
            <w:bookmarkEnd w:id="554"/>
          </w:p>
        </w:tc>
        <w:tc>
          <w:tcPr>
            <w:tcW w:w="2069" w:type="dxa"/>
            <w:tcBorders>
              <w:bottom w:val="double" w:sz="6" w:space="0" w:color="000000"/>
            </w:tcBorders>
            <w:shd w:fill="CCEEFF" w:val="clear"/>
            <w:tcMar>
              <w:bottom w:w="28" w:type="dxa"/>
            </w:tcMar>
            <w:vAlign w:val="center"/>
          </w:tcPr>
          <w:p>
            <w:pPr>
              <w:pStyle w:val="TableContents"/>
              <w:bidi w:val="0"/>
              <w:spacing w:before="0" w:after="283"/>
              <w:jc w:val="right"/>
              <w:rPr/>
            </w:pPr>
            <w:r>
              <w:rPr/>
              <w:t>1,550,499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outstanding warrants as of December 31, 2024 is included below:</w:t>
      </w:r>
    </w:p>
    <w:p>
      <w:pPr>
        <w:pStyle w:val="TextBody"/>
        <w:bidi w:val="0"/>
        <w:spacing w:before="0" w:after="0"/>
        <w:ind w:left="0" w:right="0" w:hanging="0"/>
        <w:jc w:val="both"/>
        <w:rPr>
          <w:caps w:val="false"/>
          <w:smallCaps w:val="false"/>
        </w:rPr>
      </w:pPr>
      <w:r>
        <w:rPr>
          <w:caps w:val="false"/>
          <w:smallCaps w:val="false"/>
        </w:rPr>
        <w:t> </w:t>
      </w:r>
    </w:p>
    <w:tbl>
      <w:tblPr>
        <w:tblW w:w="9548" w:type="dxa"/>
        <w:jc w:val="left"/>
        <w:tblInd w:w="0" w:type="dxa"/>
        <w:tblLayout w:type="fixed"/>
        <w:tblCellMar>
          <w:top w:w="0" w:type="dxa"/>
          <w:left w:w="0" w:type="dxa"/>
          <w:bottom w:w="0" w:type="dxa"/>
          <w:right w:w="0" w:type="dxa"/>
        </w:tblCellMar>
      </w:tblPr>
      <w:tblGrid>
        <w:gridCol w:w="2780"/>
        <w:gridCol w:w="60"/>
        <w:gridCol w:w="125"/>
        <w:gridCol w:w="2069"/>
        <w:gridCol w:w="60"/>
        <w:gridCol w:w="60"/>
        <w:gridCol w:w="352"/>
        <w:gridCol w:w="1107"/>
        <w:gridCol w:w="60"/>
        <w:gridCol w:w="60"/>
        <w:gridCol w:w="815"/>
        <w:gridCol w:w="60"/>
        <w:gridCol w:w="194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Class</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278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55" w:name="xdx_983_eus-gaap--ClassOfWarrantOrRightO"/>
            <w:bookmarkEnd w:id="555"/>
          </w:p>
        </w:tc>
        <w:tc>
          <w:tcPr>
            <w:tcW w:w="2069"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bookmarkStart w:id="556" w:name="xdx_900_eus-gaap--ClassOfWarrantOrRightE"/>
            <w:bookmarkEnd w:id="556"/>
            <w:r>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Liability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57" w:name="xdx_905_eus-gaap--WarrantsAndRightsOutst"/>
            <w:bookmarkEnd w:id="557"/>
            <w:r>
              <w:rPr/>
              <w:t>August 24, 2028</w:t>
            </w:r>
          </w:p>
        </w:tc>
      </w:tr>
      <w:tr>
        <w:trPr/>
        <w:tc>
          <w:tcPr>
            <w:tcW w:w="278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58" w:name="xdx_989_eus-gaap--ClassOfWarrantOrRightO"/>
            <w:bookmarkEnd w:id="558"/>
          </w:p>
        </w:tc>
        <w:tc>
          <w:tcPr>
            <w:tcW w:w="2069" w:type="dxa"/>
            <w:tcBorders/>
            <w:shd w:fill="FFFFFF" w:val="clear"/>
            <w:vAlign w:val="center"/>
          </w:tcPr>
          <w:p>
            <w:pPr>
              <w:pStyle w:val="TableContents"/>
              <w:bidi w:val="0"/>
              <w:spacing w:before="0" w:after="283"/>
              <w:jc w:val="right"/>
              <w:rPr/>
            </w:pPr>
            <w:r>
              <w:rPr/>
              <w:t>1,405,470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bookmarkStart w:id="559" w:name="xdx_909_eus-gaap--ClassOfWarrantOrRightE"/>
            <w:bookmarkEnd w:id="559"/>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Liability</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bookmarkStart w:id="560" w:name="xdx_909_eus-gaap--WarrantsAndRightsOutst"/>
            <w:bookmarkEnd w:id="560"/>
            <w:r>
              <w:rPr/>
              <w:t>November 24, 2028</w:t>
            </w:r>
          </w:p>
        </w:tc>
      </w:tr>
      <w:tr>
        <w:trPr/>
        <w:tc>
          <w:tcPr>
            <w:tcW w:w="2780" w:type="dxa"/>
            <w:tcBorders/>
            <w:shd w:fill="CCEEFF" w:val="clear"/>
            <w:vAlign w:val="center"/>
          </w:tcPr>
          <w:p>
            <w:pPr>
              <w:pStyle w:val="TableContents"/>
              <w:bidi w:val="0"/>
              <w:spacing w:before="0" w:after="283"/>
              <w:jc w:val="left"/>
              <w:rPr/>
            </w:pPr>
            <w:r>
              <w:rPr/>
              <w:t>Underwriters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1" w:name="xdx_987_eus-gaap--ClassOfWarrantOrRightO"/>
            <w:bookmarkEnd w:id="561"/>
          </w:p>
        </w:tc>
        <w:tc>
          <w:tcPr>
            <w:tcW w:w="2069" w:type="dxa"/>
            <w:tcBorders>
              <w:bottom w:val="single" w:sz="8" w:space="0" w:color="000000"/>
            </w:tcBorders>
            <w:shd w:fill="CCEEFF" w:val="clear"/>
            <w:tcMar>
              <w:bottom w:w="28" w:type="dxa"/>
            </w:tcM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bookmarkStart w:id="562" w:name="xdx_90A_eus-gaap--ClassOfWarrantOrRightE"/>
            <w:bookmarkEnd w:id="562"/>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Equity</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bookmarkStart w:id="563" w:name="xdx_902_eus-gaap--WarrantsAndRightsOutst"/>
            <w:bookmarkEnd w:id="563"/>
            <w:r>
              <w:rPr/>
              <w:t>November 9, 2025</w:t>
            </w:r>
          </w:p>
        </w:tc>
      </w:tr>
      <w:tr>
        <w:trPr/>
        <w:tc>
          <w:tcPr>
            <w:tcW w:w="2780" w:type="dxa"/>
            <w:tcBorders/>
            <w:shd w:fill="FFFFFF" w:val="clear"/>
            <w:vAlign w:val="center"/>
          </w:tcPr>
          <w:p>
            <w:pPr>
              <w:pStyle w:val="TableContents"/>
              <w:bidi w:val="0"/>
              <w:spacing w:before="0" w:after="283"/>
              <w:jc w:val="left"/>
              <w:rPr>
                <w:b/>
              </w:rPr>
            </w:pPr>
            <w:r>
              <w:rPr>
                <w:b/>
              </w:rPr>
              <w:t>Total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64" w:name="xdx_98B_eus-gaap--ClassOfWarrantOrRightO"/>
            <w:bookmarkEnd w:id="564"/>
          </w:p>
        </w:tc>
        <w:tc>
          <w:tcPr>
            <w:tcW w:w="2069" w:type="dxa"/>
            <w:tcBorders>
              <w:bottom w:val="double" w:sz="6" w:space="0" w:color="000000"/>
            </w:tcBorders>
            <w:shd w:fill="FFFFFF" w:val="clear"/>
            <w:tcMar>
              <w:bottom w:w="28" w:type="dxa"/>
            </w:tcMar>
            <w:vAlign w:val="center"/>
          </w:tcPr>
          <w:p>
            <w:pPr>
              <w:pStyle w:val="TableContents"/>
              <w:bidi w:val="0"/>
              <w:spacing w:before="0" w:after="283"/>
              <w:jc w:val="right"/>
              <w:rPr/>
            </w:pPr>
            <w:r>
              <w:rPr/>
              <w:t>1,859,784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5" w:name="xdx_8AA_zSq0F6vLGo7k"/>
      <w:bookmarkEnd w:id="56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66" w:name="xdx_86B_zvS6c4wtTSUd"/>
      <w:bookmarkStart w:id="567" w:name="xdx_841_eus-gaap--RepurchaseAgreementsCo"/>
      <w:bookmarkEnd w:id="566"/>
      <w:bookmarkEnd w:id="567"/>
      <w:r>
        <w:rPr>
          <w:rFonts w:ascii="Times New Roman;Times;Serif" w:hAnsi="Times New Roman;Times;Serif"/>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2022, the Company’s board of directors authorized a share repurchase program under which the Company may repurchase up to $</w:t>
      </w:r>
      <w:bookmarkStart w:id="568" w:name="xdx_901_esrt--StockRepurchaseProgramAuth"/>
      <w:bookmarkEnd w:id="568"/>
      <w:r>
        <w:rPr>
          <w:rFonts w:ascii="Times New Roman;Times;Serif" w:hAnsi="Times New Roman;Times;Serif"/>
          <w:b w:val="false"/>
          <w:i w:val="false"/>
          <w:caps w:val="false"/>
          <w:smallCaps w:val="false"/>
          <w:sz w:val="20"/>
        </w:rPr>
        <w:t xml:space="preserve">5 million of outstanding shares of Class A common stock of the Company, subject to ongoing compliance with the Nasdaq listing rules. The program does not have a fixed expiration date. Repurchased shares are accounted for at cost and reported as a reduction of equity in the consolidated balance sheets under treasury stock. </w:t>
      </w:r>
      <w:bookmarkStart w:id="569" w:name="xdx_90B_eus-gaap--StockIssuedDuringPerio"/>
      <w:bookmarkStart w:id="570" w:name="xdx_904_eus-gaap--StockIssuedDuringPerio"/>
      <w:bookmarkEnd w:id="569"/>
      <w:bookmarkEnd w:id="570"/>
      <w:r>
        <w:rPr>
          <w:rFonts w:ascii="Times New Roman;Times;Serif" w:hAnsi="Times New Roman;Times;Serif"/>
          <w:b w:val="false"/>
          <w:i w:val="false"/>
          <w:caps w:val="false"/>
          <w:smallCaps w:val="false"/>
          <w:sz w:val="20"/>
        </w:rPr>
        <w:t xml:space="preserve">No treasury stock was sold during the years ended December 31, 2025 and 2024. As of December 31, 2025 and 2024, </w:t>
      </w:r>
      <w:bookmarkStart w:id="571" w:name="xdx_90F_eus-gaap--TreasuryStockSharesAcq"/>
      <w:bookmarkStart w:id="572" w:name="xdx_901_eus-gaap--TreasuryStockSharesAcq"/>
      <w:bookmarkEnd w:id="571"/>
      <w:bookmarkEnd w:id="572"/>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573" w:name="xdx_905_eus-gaap--TreasuryStockValueAcqu"/>
      <w:bookmarkStart w:id="574" w:name="xdx_903_eus-gaap--TreasuryStockValueAcqu"/>
      <w:bookmarkEnd w:id="573"/>
      <w:bookmarkEnd w:id="574"/>
      <w:r>
        <w:rPr>
          <w:rFonts w:ascii="Times New Roman;Times;Serif" w:hAnsi="Times New Roman;Times;Serif"/>
          <w:b w:val="false"/>
          <w:i w:val="false"/>
          <w:caps w:val="false"/>
          <w:smallCaps w:val="false"/>
          <w:sz w:val="20"/>
        </w:rPr>
        <w:t>3.7 million. The average price paid per share was $</w:t>
      </w:r>
      <w:bookmarkStart w:id="575" w:name="xdx_90A_eus-gaap--TreasuryStockAcquiredA"/>
      <w:bookmarkStart w:id="576" w:name="xdx_900_eus-gaap--TreasuryStockAcquiredA"/>
      <w:bookmarkEnd w:id="575"/>
      <w:bookmarkEnd w:id="576"/>
      <w:r>
        <w:rPr>
          <w:rFonts w:ascii="Times New Roman;Times;Serif" w:hAnsi="Times New Roman;Times;Serif"/>
          <w:b w:val="false"/>
          <w:i w:val="false"/>
          <w:caps w:val="false"/>
          <w:smallCaps w:val="false"/>
          <w:sz w:val="20"/>
        </w:rPr>
        <w:t>2.72 and approximately $</w:t>
      </w:r>
      <w:bookmarkStart w:id="577" w:name="xdx_904_eus-gaap--StockRepurchaseProgram"/>
      <w:bookmarkStart w:id="578" w:name="xdx_90C_eus-gaap--StockRepurchaseProgram"/>
      <w:bookmarkEnd w:id="577"/>
      <w:bookmarkEnd w:id="578"/>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79" w:name="xdx_86B_zZQ3Bc3RK0Za"/>
      <w:bookmarkStart w:id="580" w:name="xdx_849_eus-gaap--EarningsPerSharePolicy"/>
      <w:bookmarkEnd w:id="579"/>
      <w:bookmarkEnd w:id="580"/>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Earnings (loss) per share (“EPS”) is calculated by dividing the net income (loss) that is applicable to the common stockholders for the period by the weighted average number of shares of common stock during that period. The computation of diluted EPS for the period assumes the potential dilutive effect of potential common shares, which includes common shares, consisting of (a) unvested restricted stock units and warrants using the treasury stock method, and (b) convertible debt using the if-converted method. The Company issues two classes of common stock with differing voting rights, and as such, reports EPS using the dual class method. For more information see Note 16 – </w:t>
      </w:r>
      <w:r>
        <w:rPr>
          <w:rFonts w:ascii="Times New Roman;Times;Serif" w:hAnsi="Times New Roman;Times;Serif"/>
          <w:b w:val="false"/>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81" w:name="xdx_86A_zBnHhOZYpuof"/>
      <w:bookmarkStart w:id="582" w:name="xdx_84F_eus-gaap--PolicyholdersDividendP"/>
      <w:bookmarkEnd w:id="581"/>
      <w:bookmarkEnd w:id="582"/>
      <w:r>
        <w:rPr>
          <w:rFonts w:ascii="Times New Roman;Times;Serif" w:hAnsi="Times New Roman;Times;Serif"/>
          <w:b/>
          <w:i/>
          <w:caps w:val="false"/>
          <w:smallCaps w:val="false"/>
          <w:sz w:val="20"/>
        </w:rPr>
        <w:t>Dividend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cash dividends is currently restricted by the terms of our credit facilities.</w:t>
      </w:r>
    </w:p>
    <w:p>
      <w:pPr>
        <w:pStyle w:val="TextBody"/>
        <w:bidi w:val="0"/>
        <w:spacing w:before="0" w:after="0"/>
        <w:ind w:left="0" w:right="0" w:hanging="0"/>
        <w:jc w:val="both"/>
        <w:rPr>
          <w:caps w:val="false"/>
          <w:smallCaps w:val="false"/>
        </w:rPr>
      </w:pPr>
      <w:bookmarkStart w:id="583" w:name="xdx_85B_zA2dtzAvsMce"/>
      <w:bookmarkEnd w:id="5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4" w:name="xdx_80E_eus-gaap--RevenueFromContractWit"/>
      <w:bookmarkEnd w:id="584"/>
      <w:r>
        <w:rPr>
          <w:rFonts w:ascii="Times New Roman;Times;Serif" w:hAnsi="Times New Roman;Times;Serif"/>
          <w:b/>
          <w:i w:val="false"/>
          <w:caps w:val="false"/>
          <w:smallCaps w:val="false"/>
          <w:sz w:val="20"/>
        </w:rPr>
        <w:t xml:space="preserve">NOTE 3 – </w:t>
      </w:r>
      <w:bookmarkStart w:id="585" w:name="xdx_825_zVu61Vbrgrjb"/>
      <w:bookmarkEnd w:id="585"/>
      <w:r>
        <w:rPr>
          <w:rFonts w:ascii="Times New Roman;Times;Serif" w:hAnsi="Times New Roman;Times;Serif"/>
          <w:b/>
          <w:i w:val="false"/>
          <w:caps w:val="false"/>
          <w:smallCaps w:val="false"/>
          <w:sz w:val="20"/>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Timing of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years ended December 31, 2025 and 2024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6" w:name="xdx_8BD_zCSALcbWLsbj"/>
      <w:bookmarkStart w:id="587" w:name="xdx_897_eus-gaap--DisaggregationOfRevenu"/>
      <w:bookmarkEnd w:id="586"/>
      <w:bookmarkEnd w:id="587"/>
      <w:r>
        <w:rPr>
          <w:rFonts w:ascii="Times New Roman;Times;Serif" w:hAnsi="Times New Roman;Times;Serif"/>
          <w:b w:val="false"/>
          <w:i w:val="false"/>
          <w:caps w:val="false"/>
          <w:smallCaps w:val="false"/>
          <w:sz w:val="20"/>
        </w:rPr>
        <w:t>SCHEDULE OF DISAGGREGATION OF REVENUE</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8" w:name="xdx_49B_20250101__20251231_zO4bsdji2dlj"/>
            <w:bookmarkEnd w:id="58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9" w:name="xdx_49F_20240101__20241231_zgsvLWstZzu7"/>
            <w:bookmarkEnd w:id="58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90" w:name="xdx_40B_eus-gaap--RevenueFromContractWit"/>
            <w:bookmarkEnd w:id="590"/>
          </w:p>
        </w:tc>
      </w:tr>
      <w:tr>
        <w:trPr/>
        <w:tc>
          <w:tcPr>
            <w:tcW w:w="4655" w:type="dxa"/>
            <w:tcBorders/>
            <w:shd w:fill="CCEEFF" w:val="clear"/>
            <w:vAlign w:val="center"/>
          </w:tcPr>
          <w:p>
            <w:pPr>
              <w:pStyle w:val="TableContents"/>
              <w:bidi w:val="0"/>
              <w:spacing w:before="0" w:after="283"/>
              <w:jc w:val="left"/>
              <w:rPr/>
            </w:pPr>
            <w:r>
              <w:rPr/>
              <w:t>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5,904,976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4,520,499</w:t>
            </w:r>
          </w:p>
        </w:tc>
        <w:tc>
          <w:tcPr>
            <w:tcW w:w="75" w:type="dxa"/>
            <w:tcBorders/>
            <w:shd w:fill="CCEEFF" w:val="clear"/>
            <w:vAlign w:val="center"/>
          </w:tcPr>
          <w:p>
            <w:pPr>
              <w:pStyle w:val="TableContents"/>
              <w:bidi w:val="0"/>
              <w:spacing w:before="0" w:after="283"/>
              <w:jc w:val="left"/>
              <w:rPr/>
            </w:pPr>
            <w:r>
              <w:rPr/>
              <w:t> </w:t>
            </w:r>
            <w:bookmarkStart w:id="591" w:name="xdx_40D_eus-gaap--RevenueFromContractWit"/>
            <w:bookmarkEnd w:id="591"/>
          </w:p>
        </w:tc>
      </w:tr>
      <w:tr>
        <w:trPr/>
        <w:tc>
          <w:tcPr>
            <w:tcW w:w="4655" w:type="dxa"/>
            <w:tcBorders/>
            <w:shd w:fill="FFFFFF" w:val="clear"/>
            <w:vAlign w:val="center"/>
          </w:tcPr>
          <w:p>
            <w:pPr>
              <w:pStyle w:val="TableContents"/>
              <w:bidi w:val="0"/>
              <w:spacing w:before="0" w:after="283"/>
              <w:jc w:val="left"/>
              <w:rPr/>
            </w:pPr>
            <w:r>
              <w:rPr/>
              <w:t>Point in time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75,320,646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79,946,548</w:t>
            </w:r>
          </w:p>
        </w:tc>
        <w:tc>
          <w:tcPr>
            <w:tcW w:w="75" w:type="dxa"/>
            <w:tcBorders/>
            <w:shd w:fill="FFFFFF" w:val="clear"/>
            <w:vAlign w:val="center"/>
          </w:tcPr>
          <w:p>
            <w:pPr>
              <w:pStyle w:val="TableContents"/>
              <w:bidi w:val="0"/>
              <w:spacing w:before="0" w:after="283"/>
              <w:jc w:val="left"/>
              <w:rPr/>
            </w:pPr>
            <w:r>
              <w:rPr/>
              <w:t> </w:t>
            </w:r>
            <w:bookmarkStart w:id="592" w:name="xdx_409_eus-gaap--RevenueFromContractWit"/>
            <w:bookmarkEnd w:id="592"/>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81,225,622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84,467,047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net revenue to geographic regions based on customer location. Net revenue by geographic region for the years ended December 31,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3" w:name="xdx_493_20250101__20251231_zttUWbWS3CSg"/>
            <w:bookmarkEnd w:id="593"/>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4" w:name="xdx_49F_20240101__20241231_zDU1LWkreaGg"/>
            <w:bookmarkEnd w:id="5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95" w:name="xdx_407_eus-gaap--RevenueFromContractWit"/>
            <w:bookmarkEnd w:id="595"/>
          </w:p>
        </w:tc>
      </w:tr>
      <w:tr>
        <w:trPr/>
        <w:tc>
          <w:tcPr>
            <w:tcW w:w="465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72,070,053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73,117,378</w:t>
            </w:r>
          </w:p>
        </w:tc>
        <w:tc>
          <w:tcPr>
            <w:tcW w:w="75" w:type="dxa"/>
            <w:tcBorders/>
            <w:shd w:fill="CCEEFF" w:val="clear"/>
            <w:vAlign w:val="center"/>
          </w:tcPr>
          <w:p>
            <w:pPr>
              <w:pStyle w:val="TableContents"/>
              <w:bidi w:val="0"/>
              <w:spacing w:before="0" w:after="283"/>
              <w:jc w:val="left"/>
              <w:rPr/>
            </w:pPr>
            <w:r>
              <w:rPr/>
              <w:t> </w:t>
            </w:r>
            <w:bookmarkStart w:id="596" w:name="xdx_40A_eus-gaap--RevenueFromContractWit"/>
            <w:bookmarkEnd w:id="596"/>
          </w:p>
        </w:tc>
      </w:tr>
      <w:tr>
        <w:trPr/>
        <w:tc>
          <w:tcPr>
            <w:tcW w:w="465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7,430,097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9,207,537</w:t>
            </w:r>
          </w:p>
        </w:tc>
        <w:tc>
          <w:tcPr>
            <w:tcW w:w="75" w:type="dxa"/>
            <w:tcBorders/>
            <w:shd w:fill="FFFFFF" w:val="clear"/>
            <w:vAlign w:val="center"/>
          </w:tcPr>
          <w:p>
            <w:pPr>
              <w:pStyle w:val="TableContents"/>
              <w:bidi w:val="0"/>
              <w:spacing w:before="0" w:after="283"/>
              <w:jc w:val="left"/>
              <w:rPr/>
            </w:pPr>
            <w:r>
              <w:rPr/>
              <w:t> </w:t>
            </w:r>
            <w:bookmarkStart w:id="597" w:name="xdx_40A_eus-gaap--RevenueFromContractWit"/>
            <w:bookmarkEnd w:id="597"/>
          </w:p>
        </w:tc>
      </w:tr>
      <w:tr>
        <w:trPr/>
        <w:tc>
          <w:tcPr>
            <w:tcW w:w="4655" w:type="dxa"/>
            <w:tcBorders/>
            <w:shd w:fill="CCEEFF" w:val="clear"/>
            <w:vAlign w:val="center"/>
          </w:tcPr>
          <w:p>
            <w:pPr>
              <w:pStyle w:val="TableContents"/>
              <w:bidi w:val="0"/>
              <w:spacing w:before="0" w:after="283"/>
              <w:jc w:val="left"/>
              <w:rPr/>
            </w:pPr>
            <w:r>
              <w:rPr/>
              <w:t>Other international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1,725,472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2,142,132</w:t>
            </w:r>
          </w:p>
        </w:tc>
        <w:tc>
          <w:tcPr>
            <w:tcW w:w="75" w:type="dxa"/>
            <w:tcBorders/>
            <w:shd w:fill="CCEEFF" w:val="clear"/>
            <w:vAlign w:val="center"/>
          </w:tcPr>
          <w:p>
            <w:pPr>
              <w:pStyle w:val="TableContents"/>
              <w:bidi w:val="0"/>
              <w:spacing w:before="0" w:after="283"/>
              <w:jc w:val="left"/>
              <w:rPr/>
            </w:pPr>
            <w:r>
              <w:rPr/>
              <w:t> </w:t>
            </w:r>
            <w:bookmarkStart w:id="598" w:name="xdx_401_eus-gaap--RevenueFromContractWit"/>
            <w:bookmarkEnd w:id="598"/>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81,225,622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84,467,047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by platform for the years ended December 31, 2025 and 2024 were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9" w:name="xdx_49B_20250101__20251231_z1lm0F6KKpN6"/>
            <w:bookmarkEnd w:id="59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0" w:name="xdx_49F_20240101__20241231_zNersx7qFRs1"/>
            <w:bookmarkEnd w:id="60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01" w:name="xdx_40A_eus-gaap--RevenueFromContractWit"/>
            <w:bookmarkEnd w:id="601"/>
          </w:p>
        </w:tc>
      </w:tr>
      <w:tr>
        <w:trPr/>
        <w:tc>
          <w:tcPr>
            <w:tcW w:w="4655" w:type="dxa"/>
            <w:tcBorders/>
            <w:shd w:fill="CCEEFF" w:val="clear"/>
            <w:vAlign w:val="center"/>
          </w:tcPr>
          <w:p>
            <w:pPr>
              <w:pStyle w:val="TableContents"/>
              <w:bidi w:val="0"/>
              <w:spacing w:before="0" w:after="283"/>
              <w:jc w:val="left"/>
              <w:rPr/>
            </w:pPr>
            <w:r>
              <w:rPr/>
              <w:t>Console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31,153,898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35,791,684</w:t>
            </w:r>
          </w:p>
        </w:tc>
        <w:tc>
          <w:tcPr>
            <w:tcW w:w="75" w:type="dxa"/>
            <w:tcBorders/>
            <w:shd w:fill="CCEEFF" w:val="clear"/>
            <w:vAlign w:val="center"/>
          </w:tcPr>
          <w:p>
            <w:pPr>
              <w:pStyle w:val="TableContents"/>
              <w:bidi w:val="0"/>
              <w:spacing w:before="0" w:after="283"/>
              <w:jc w:val="left"/>
              <w:rPr/>
            </w:pPr>
            <w:r>
              <w:rPr/>
              <w:t> </w:t>
            </w:r>
            <w:bookmarkStart w:id="602" w:name="xdx_40B_eus-gaap--RevenueFromContractWit"/>
            <w:bookmarkEnd w:id="602"/>
          </w:p>
        </w:tc>
      </w:tr>
      <w:tr>
        <w:trPr/>
        <w:tc>
          <w:tcPr>
            <w:tcW w:w="4655" w:type="dxa"/>
            <w:tcBorders/>
            <w:shd w:fill="FFFFFF" w:val="clear"/>
            <w:vAlign w:val="center"/>
          </w:tcPr>
          <w:p>
            <w:pPr>
              <w:pStyle w:val="TableContents"/>
              <w:bidi w:val="0"/>
              <w:spacing w:before="0" w:after="283"/>
              <w:jc w:val="left"/>
              <w:rPr/>
            </w:pPr>
            <w:r>
              <w:rPr/>
              <w:t>PC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40,606,078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40,659,044</w:t>
            </w:r>
          </w:p>
        </w:tc>
        <w:tc>
          <w:tcPr>
            <w:tcW w:w="75" w:type="dxa"/>
            <w:tcBorders/>
            <w:shd w:fill="FFFFFF" w:val="clear"/>
            <w:vAlign w:val="center"/>
          </w:tcPr>
          <w:p>
            <w:pPr>
              <w:pStyle w:val="TableContents"/>
              <w:bidi w:val="0"/>
              <w:spacing w:before="0" w:after="283"/>
              <w:jc w:val="left"/>
              <w:rPr/>
            </w:pPr>
            <w:r>
              <w:rPr/>
              <w:t> </w:t>
            </w:r>
            <w:bookmarkStart w:id="603" w:name="xdx_40A_eus-gaap--RevenueFromContractWit"/>
            <w:bookmarkEnd w:id="603"/>
          </w:p>
        </w:tc>
      </w:tr>
      <w:tr>
        <w:trPr/>
        <w:tc>
          <w:tcPr>
            <w:tcW w:w="4655" w:type="dxa"/>
            <w:tcBorders/>
            <w:shd w:fill="CCEEFF" w:val="clear"/>
            <w:vAlign w:val="center"/>
          </w:tcPr>
          <w:p>
            <w:pPr>
              <w:pStyle w:val="TableContents"/>
              <w:bidi w:val="0"/>
              <w:spacing w:before="0" w:after="283"/>
              <w:jc w:val="left"/>
              <w:rPr/>
            </w:pPr>
            <w:r>
              <w:rPr/>
              <w:t>Mobile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7,790,182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4,632,413</w:t>
            </w:r>
          </w:p>
        </w:tc>
        <w:tc>
          <w:tcPr>
            <w:tcW w:w="75" w:type="dxa"/>
            <w:tcBorders/>
            <w:shd w:fill="CCEEFF" w:val="clear"/>
            <w:vAlign w:val="center"/>
          </w:tcPr>
          <w:p>
            <w:pPr>
              <w:pStyle w:val="TableContents"/>
              <w:bidi w:val="0"/>
              <w:spacing w:before="0" w:after="283"/>
              <w:jc w:val="left"/>
              <w:rPr/>
            </w:pPr>
            <w:r>
              <w:rPr/>
              <w:t> </w:t>
            </w:r>
            <w:bookmarkStart w:id="604" w:name="xdx_402_eus-gaap--RevenueFromContractWit"/>
            <w:bookmarkEnd w:id="604"/>
          </w:p>
        </w:tc>
      </w:tr>
      <w:tr>
        <w:trPr/>
        <w:tc>
          <w:tcPr>
            <w:tcW w:w="4655" w:type="dxa"/>
            <w:tcBorders/>
            <w:shd w:fill="FFFFFF" w:val="clear"/>
            <w:vAlign w:val="center"/>
          </w:tcPr>
          <w:p>
            <w:pPr>
              <w:pStyle w:val="TableContents"/>
              <w:bidi w:val="0"/>
              <w:spacing w:before="0" w:after="283"/>
              <w:jc w:val="left"/>
              <w:rPr/>
            </w:pPr>
            <w:r>
              <w:rPr/>
              <w:t>Physical retail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1,675,464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3,383,906</w:t>
            </w:r>
          </w:p>
        </w:tc>
        <w:tc>
          <w:tcPr>
            <w:tcW w:w="75" w:type="dxa"/>
            <w:tcBorders/>
            <w:shd w:fill="FFFFFF" w:val="clear"/>
            <w:vAlign w:val="center"/>
          </w:tcPr>
          <w:p>
            <w:pPr>
              <w:pStyle w:val="TableContents"/>
              <w:bidi w:val="0"/>
              <w:spacing w:before="0" w:after="283"/>
              <w:jc w:val="left"/>
              <w:rPr/>
            </w:pPr>
            <w:r>
              <w:rPr/>
              <w:t> </w:t>
            </w:r>
            <w:bookmarkStart w:id="605" w:name="xdx_408_eus-gaap--RevenueFromContractWit"/>
            <w:bookmarkEnd w:id="605"/>
          </w:p>
        </w:tc>
      </w:tr>
      <w:tr>
        <w:trPr/>
        <w:tc>
          <w:tcPr>
            <w:tcW w:w="4655" w:type="dxa"/>
            <w:tcBorders/>
            <w:shd w:fill="CCEEFF" w:val="clear"/>
            <w:vAlign w:val="center"/>
          </w:tcPr>
          <w:p>
            <w:pPr>
              <w:pStyle w:val="TableContents"/>
              <w:bidi w:val="0"/>
              <w:spacing w:before="0" w:after="283"/>
              <w:jc w:val="left"/>
              <w:rPr>
                <w:b/>
              </w:rPr>
            </w:pPr>
            <w:r>
              <w:rPr>
                <w:b/>
              </w:rPr>
              <w:t>Total revenue from contracts with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81,225,622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84,467,047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through our top four platform providers, as a proportion of our total net revenue, for the years ended December 31, 2025 and 2024 were as follows:</w:t>
      </w:r>
    </w:p>
    <w:p>
      <w:pPr>
        <w:pStyle w:val="TextBody"/>
        <w:bidi w:val="0"/>
        <w:spacing w:before="0" w:after="0"/>
        <w:ind w:left="0" w:right="0" w:firstLine="36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835"/>
        <w:gridCol w:w="60"/>
        <w:gridCol w:w="140"/>
        <w:gridCol w:w="1100"/>
        <w:gridCol w:w="60"/>
        <w:gridCol w:w="60"/>
        <w:gridCol w:w="140"/>
        <w:gridCol w:w="1100"/>
        <w:gridCol w:w="75"/>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6" w:name="xdx_491_20250101__20251231_zSNVC8E7ykp7"/>
            <w:bookmarkEnd w:id="60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7" w:name="xdx_49F_20240101__20241231_zTE9Lczp7bjh"/>
            <w:bookmarkEnd w:id="60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08" w:name="xdx_40D_eus-gaap--RevenueFromContractWit"/>
            <w:bookmarkEnd w:id="608"/>
          </w:p>
        </w:tc>
      </w:tr>
      <w:tr>
        <w:trPr/>
        <w:tc>
          <w:tcPr>
            <w:tcW w:w="1835" w:type="dxa"/>
            <w:tcBorders/>
            <w:shd w:fill="CCEEFF" w:val="clear"/>
            <w:vAlign w:val="center"/>
          </w:tcPr>
          <w:p>
            <w:pPr>
              <w:pStyle w:val="TableContents"/>
              <w:bidi w:val="0"/>
              <w:spacing w:before="0" w:after="283"/>
              <w:jc w:val="left"/>
              <w:rPr/>
            </w:pPr>
            <w:r>
              <w:rPr/>
              <w:t>Platform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39,345,153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39,217,130</w:t>
            </w:r>
          </w:p>
        </w:tc>
        <w:tc>
          <w:tcPr>
            <w:tcW w:w="75" w:type="dxa"/>
            <w:tcBorders/>
            <w:shd w:fill="CCEEFF" w:val="clear"/>
            <w:vAlign w:val="center"/>
          </w:tcPr>
          <w:p>
            <w:pPr>
              <w:pStyle w:val="TableContents"/>
              <w:bidi w:val="0"/>
              <w:spacing w:before="0" w:after="283"/>
              <w:jc w:val="left"/>
              <w:rPr/>
            </w:pPr>
            <w:r>
              <w:rPr/>
              <w:t> </w:t>
            </w:r>
            <w:bookmarkStart w:id="609" w:name="xdx_404_eus-gaap--RevenueFromContractWit"/>
            <w:bookmarkEnd w:id="609"/>
          </w:p>
        </w:tc>
      </w:tr>
      <w:tr>
        <w:trPr/>
        <w:tc>
          <w:tcPr>
            <w:tcW w:w="1835" w:type="dxa"/>
            <w:tcBorders/>
            <w:shd w:fill="FFFFFF" w:val="clear"/>
            <w:vAlign w:val="center"/>
          </w:tcPr>
          <w:p>
            <w:pPr>
              <w:pStyle w:val="TableContents"/>
              <w:bidi w:val="0"/>
              <w:spacing w:before="0" w:after="283"/>
              <w:jc w:val="left"/>
              <w:rPr/>
            </w:pPr>
            <w:r>
              <w:rPr/>
              <w:t>Platform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10,113,472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12,434,911</w:t>
            </w:r>
          </w:p>
        </w:tc>
        <w:tc>
          <w:tcPr>
            <w:tcW w:w="75" w:type="dxa"/>
            <w:tcBorders/>
            <w:shd w:fill="FFFFFF" w:val="clear"/>
            <w:vAlign w:val="center"/>
          </w:tcPr>
          <w:p>
            <w:pPr>
              <w:pStyle w:val="TableContents"/>
              <w:bidi w:val="0"/>
              <w:spacing w:before="0" w:after="283"/>
              <w:jc w:val="left"/>
              <w:rPr/>
            </w:pPr>
            <w:r>
              <w:rPr/>
              <w:t> </w:t>
            </w:r>
            <w:bookmarkStart w:id="610" w:name="xdx_40C_eus-gaap--RevenueFromContractWit"/>
            <w:bookmarkEnd w:id="610"/>
          </w:p>
        </w:tc>
      </w:tr>
      <w:tr>
        <w:trPr/>
        <w:tc>
          <w:tcPr>
            <w:tcW w:w="1835" w:type="dxa"/>
            <w:tcBorders/>
            <w:shd w:fill="CCEEFF" w:val="clear"/>
            <w:vAlign w:val="center"/>
          </w:tcPr>
          <w:p>
            <w:pPr>
              <w:pStyle w:val="TableContents"/>
              <w:bidi w:val="0"/>
              <w:spacing w:before="0" w:after="283"/>
              <w:jc w:val="left"/>
              <w:rPr/>
            </w:pPr>
            <w:r>
              <w:rPr/>
              <w:t>Platform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19,775,689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21,056,125</w:t>
            </w:r>
          </w:p>
        </w:tc>
        <w:tc>
          <w:tcPr>
            <w:tcW w:w="75" w:type="dxa"/>
            <w:tcBorders/>
            <w:shd w:fill="CCEEFF" w:val="clear"/>
            <w:vAlign w:val="center"/>
          </w:tcPr>
          <w:p>
            <w:pPr>
              <w:pStyle w:val="TableContents"/>
              <w:bidi w:val="0"/>
              <w:spacing w:before="0" w:after="283"/>
              <w:jc w:val="left"/>
              <w:rPr/>
            </w:pPr>
            <w:r>
              <w:rPr/>
              <w:t> </w:t>
            </w:r>
            <w:bookmarkStart w:id="611" w:name="xdx_40E_eus-gaap--RevenueFromContractWit"/>
            <w:bookmarkEnd w:id="611"/>
          </w:p>
        </w:tc>
      </w:tr>
      <w:tr>
        <w:trPr/>
        <w:tc>
          <w:tcPr>
            <w:tcW w:w="1835" w:type="dxa"/>
            <w:tcBorders/>
            <w:shd w:fill="FFFFFF" w:val="clear"/>
            <w:vAlign w:val="center"/>
          </w:tcPr>
          <w:p>
            <w:pPr>
              <w:pStyle w:val="TableContents"/>
              <w:bidi w:val="0"/>
              <w:spacing w:before="0" w:after="283"/>
              <w:jc w:val="left"/>
              <w:rPr/>
            </w:pPr>
            <w:r>
              <w:rPr/>
              <w:t>Platform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1,261,256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2,298,946</w:t>
            </w:r>
          </w:p>
        </w:tc>
        <w:tc>
          <w:tcPr>
            <w:tcW w:w="75" w:type="dxa"/>
            <w:tcBorders/>
            <w:shd w:fill="FFFFFF" w:val="clear"/>
            <w:vAlign w:val="center"/>
          </w:tcPr>
          <w:p>
            <w:pPr>
              <w:pStyle w:val="TableContents"/>
              <w:bidi w:val="0"/>
              <w:spacing w:before="0" w:after="283"/>
              <w:jc w:val="left"/>
              <w:rPr/>
            </w:pPr>
            <w:r>
              <w:rPr/>
              <w:t> </w:t>
            </w:r>
            <w:bookmarkStart w:id="612" w:name="xdx_40C_eus-gaap--RevenueFromContractWit"/>
            <w:bookmarkEnd w:id="612"/>
          </w:p>
        </w:tc>
      </w:tr>
      <w:tr>
        <w:trPr/>
        <w:tc>
          <w:tcPr>
            <w:tcW w:w="1835" w:type="dxa"/>
            <w:tcBorders/>
            <w:shd w:fill="CCEEFF" w:val="clear"/>
            <w:vAlign w:val="center"/>
          </w:tcPr>
          <w:p>
            <w:pPr>
              <w:pStyle w:val="TableContents"/>
              <w:bidi w:val="0"/>
              <w:spacing w:before="0" w:after="283"/>
              <w:jc w:val="left"/>
              <w:rPr/>
            </w:pPr>
            <w:r>
              <w:rPr/>
              <w:t>All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10,730,052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9,459,935</w:t>
            </w:r>
          </w:p>
        </w:tc>
        <w:tc>
          <w:tcPr>
            <w:tcW w:w="75" w:type="dxa"/>
            <w:tcBorders/>
            <w:shd w:fill="CCEEFF" w:val="clear"/>
            <w:vAlign w:val="center"/>
          </w:tcPr>
          <w:p>
            <w:pPr>
              <w:pStyle w:val="TableContents"/>
              <w:bidi w:val="0"/>
              <w:spacing w:before="0" w:after="283"/>
              <w:jc w:val="left"/>
              <w:rPr/>
            </w:pPr>
            <w:r>
              <w:rPr/>
              <w:t> </w:t>
            </w:r>
            <w:bookmarkStart w:id="613" w:name="xdx_401_eus-gaap--RevenueFromContractWit"/>
            <w:bookmarkEnd w:id="613"/>
          </w:p>
        </w:tc>
      </w:tr>
      <w:tr>
        <w:trPr/>
        <w:tc>
          <w:tcPr>
            <w:tcW w:w="18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81,225,622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84,467,047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delivered through digital online services (digital download, online platforms, and cloud streaming), mobile, and retail distribution and other. Net revenue by distribution channel for the years ended December 31, 2025 and 2024 was as follows:</w:t>
      </w:r>
    </w:p>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4655"/>
        <w:gridCol w:w="60"/>
        <w:gridCol w:w="140"/>
        <w:gridCol w:w="1100"/>
        <w:gridCol w:w="60"/>
        <w:gridCol w:w="60"/>
        <w:gridCol w:w="140"/>
        <w:gridCol w:w="1100"/>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F_20250101__20251231_zT5uvpBivrJi"/>
            <w:bookmarkEnd w:id="61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9F_20240101__20241231_z9Gclg7xWB1h"/>
            <w:bookmarkEnd w:id="61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6" w:name="xdx_408_eus-gaap--RevenueFromContractWit"/>
            <w:bookmarkEnd w:id="616"/>
          </w:p>
        </w:tc>
      </w:tr>
      <w:tr>
        <w:trPr/>
        <w:tc>
          <w:tcPr>
            <w:tcW w:w="4655" w:type="dxa"/>
            <w:tcBorders/>
            <w:shd w:fill="CCEEFF" w:val="clear"/>
            <w:vAlign w:val="center"/>
          </w:tcPr>
          <w:p>
            <w:pPr>
              <w:pStyle w:val="TableContents"/>
              <w:bidi w:val="0"/>
              <w:spacing w:before="0" w:after="283"/>
              <w:jc w:val="left"/>
              <w:rPr/>
            </w:pPr>
            <w:r>
              <w:rPr/>
              <w:t>Digital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71,759,976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76,450,728</w:t>
            </w:r>
          </w:p>
        </w:tc>
        <w:tc>
          <w:tcPr>
            <w:tcW w:w="75" w:type="dxa"/>
            <w:tcBorders/>
            <w:shd w:fill="CCEEFF" w:val="clear"/>
            <w:vAlign w:val="center"/>
          </w:tcPr>
          <w:p>
            <w:pPr>
              <w:pStyle w:val="TableContents"/>
              <w:bidi w:val="0"/>
              <w:spacing w:before="0" w:after="283"/>
              <w:jc w:val="left"/>
              <w:rPr/>
            </w:pPr>
            <w:r>
              <w:rPr/>
              <w:t> </w:t>
            </w:r>
            <w:bookmarkStart w:id="617" w:name="xdx_40D_eus-gaap--RevenueFromContractWit"/>
            <w:bookmarkEnd w:id="617"/>
          </w:p>
        </w:tc>
      </w:tr>
      <w:tr>
        <w:trPr/>
        <w:tc>
          <w:tcPr>
            <w:tcW w:w="4655" w:type="dxa"/>
            <w:tcBorders/>
            <w:shd w:fill="FFFFFF" w:val="clear"/>
            <w:vAlign w:val="center"/>
          </w:tcPr>
          <w:p>
            <w:pPr>
              <w:pStyle w:val="TableContents"/>
              <w:bidi w:val="0"/>
              <w:spacing w:before="0" w:after="283"/>
              <w:jc w:val="left"/>
              <w:rPr/>
            </w:pPr>
            <w:r>
              <w:rPr/>
              <w:t>Mobile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7,790,182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4,632,413</w:t>
            </w:r>
          </w:p>
        </w:tc>
        <w:tc>
          <w:tcPr>
            <w:tcW w:w="75" w:type="dxa"/>
            <w:tcBorders/>
            <w:shd w:fill="FFFFFF" w:val="clear"/>
            <w:vAlign w:val="center"/>
          </w:tcPr>
          <w:p>
            <w:pPr>
              <w:pStyle w:val="TableContents"/>
              <w:bidi w:val="0"/>
              <w:spacing w:before="0" w:after="283"/>
              <w:jc w:val="left"/>
              <w:rPr/>
            </w:pPr>
            <w:r>
              <w:rPr/>
              <w:t> </w:t>
            </w:r>
            <w:bookmarkStart w:id="618" w:name="xdx_406_eus-gaap--RevenueFromContractWit"/>
            <w:bookmarkEnd w:id="618"/>
          </w:p>
        </w:tc>
      </w:tr>
      <w:tr>
        <w:trPr/>
        <w:tc>
          <w:tcPr>
            <w:tcW w:w="4655" w:type="dxa"/>
            <w:tcBorders/>
            <w:shd w:fill="CCEEFF" w:val="clear"/>
            <w:vAlign w:val="center"/>
          </w:tcPr>
          <w:p>
            <w:pPr>
              <w:pStyle w:val="TableContents"/>
              <w:bidi w:val="0"/>
              <w:spacing w:before="0" w:after="283"/>
              <w:jc w:val="left"/>
              <w:rPr/>
            </w:pPr>
            <w:r>
              <w:rPr/>
              <w:t>Physical retail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1,675,464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3,383,906</w:t>
            </w:r>
          </w:p>
        </w:tc>
        <w:tc>
          <w:tcPr>
            <w:tcW w:w="75" w:type="dxa"/>
            <w:tcBorders/>
            <w:shd w:fill="CCEEFF" w:val="clear"/>
            <w:vAlign w:val="center"/>
          </w:tcPr>
          <w:p>
            <w:pPr>
              <w:pStyle w:val="TableContents"/>
              <w:bidi w:val="0"/>
              <w:spacing w:before="0" w:after="283"/>
              <w:jc w:val="left"/>
              <w:rPr/>
            </w:pPr>
            <w:r>
              <w:rPr/>
              <w:t> </w:t>
            </w:r>
            <w:bookmarkStart w:id="619" w:name="xdx_400_eus-gaap--RevenueFromContractWit"/>
            <w:bookmarkEnd w:id="619"/>
          </w:p>
        </w:tc>
      </w:tr>
      <w:tr>
        <w:trPr/>
        <w:tc>
          <w:tcPr>
            <w:tcW w:w="4655"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81,225,622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84,467,047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0" w:name="xdx_8A3_zvDrRiPMaSO6"/>
      <w:bookmarkEnd w:id="62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15, the Company recognized the $</w:t>
      </w:r>
      <w:bookmarkStart w:id="621" w:name="xdx_908_eus-gaap--DeferredRevenueRevenue"/>
      <w:bookmarkEnd w:id="621"/>
      <w:r>
        <w:rPr>
          <w:rFonts w:ascii="Times New Roman;Times;Serif" w:hAnsi="Times New Roman;Times;Serif"/>
          <w:b w:val="false"/>
          <w:i w:val="false"/>
          <w:caps w:val="false"/>
          <w:smallCaps w:val="false"/>
          <w:sz w:val="20"/>
        </w:rPr>
        <w:t xml:space="preserve">1.2 million payment related to the Angela Games settlement upon satisfaction of performance obligations included in the contract. This amount is included in other revenues for the year ended December 31, 2024. </w:t>
      </w:r>
      <w:bookmarkStart w:id="622" w:name="xdx_90D_eus-gaap--DeferredRevenueRevenue"/>
      <w:bookmarkEnd w:id="622"/>
      <w:r>
        <w:rPr>
          <w:rFonts w:ascii="Times New Roman;Times;Serif" w:hAnsi="Times New Roman;Times;Serif"/>
          <w:b w:val="false"/>
          <w:i w:val="false"/>
          <w:caps w:val="false"/>
          <w:smallCaps w:val="false"/>
          <w:sz w:val="20"/>
        </w:rPr>
        <w:t>No amounts were recognized for the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December 31, 2025, the balance of deferred revenue was $</w:t>
      </w:r>
      <w:bookmarkStart w:id="623" w:name="xdx_909_eus-gaap--ContractWithCustomerLi"/>
      <w:bookmarkEnd w:id="623"/>
      <w:r>
        <w:rPr>
          <w:rFonts w:ascii="Times New Roman;Times;Serif" w:hAnsi="Times New Roman;Times;Serif"/>
          <w:b w:val="false"/>
          <w:i w:val="false"/>
          <w:caps w:val="false"/>
          <w:smallCaps w:val="false"/>
          <w:sz w:val="20"/>
        </w:rPr>
        <w:t>32.1 million, of which $</w:t>
      </w:r>
      <w:bookmarkStart w:id="624" w:name="xdx_905_ecustom--RevenueRemainingPerform"/>
      <w:bookmarkEnd w:id="624"/>
      <w:r>
        <w:rPr>
          <w:rFonts w:ascii="Times New Roman;Times;Serif" w:hAnsi="Times New Roman;Times;Serif"/>
          <w:b w:val="false"/>
          <w:i w:val="false"/>
          <w:caps w:val="false"/>
          <w:smallCaps w:val="false"/>
          <w:sz w:val="20"/>
        </w:rPr>
        <w:t>31.0 million is due to non-refundable payments. The Company is expecting to recognize $</w:t>
      </w:r>
      <w:bookmarkStart w:id="625" w:name="xdx_90E_ecustom--RevenueRemainingPerform"/>
      <w:bookmarkEnd w:id="625"/>
      <w:r>
        <w:rPr>
          <w:rFonts w:ascii="Times New Roman;Times;Serif" w:hAnsi="Times New Roman;Times;Serif"/>
          <w:b w:val="false"/>
          <w:i w:val="false"/>
          <w:caps w:val="false"/>
          <w:smallCaps w:val="false"/>
          <w:sz w:val="20"/>
        </w:rPr>
        <w:t xml:space="preserve">24.5 million of non-refundable payments in the next </w:t>
      </w:r>
      <w:bookmarkStart w:id="626" w:name="xdx_90B_ecustom--ContractWithCustomerLia"/>
      <w:bookmarkEnd w:id="626"/>
      <w:r>
        <w:rPr>
          <w:rFonts w:ascii="Times New Roman;Times;Serif" w:hAnsi="Times New Roman;Times;Serif"/>
          <w:b w:val="false"/>
          <w:i w:val="false"/>
          <w:caps w:val="false"/>
          <w:smallCaps w:val="false"/>
          <w:sz w:val="20"/>
        </w:rPr>
        <w:t xml:space="preserve">12 to </w:t>
      </w:r>
      <w:bookmarkStart w:id="627" w:name="xdx_90F_ecustom--ContractWithCustomerLia"/>
      <w:bookmarkEnd w:id="627"/>
      <w:r>
        <w:rPr>
          <w:rFonts w:ascii="Times New Roman;Times;Serif" w:hAnsi="Times New Roman;Times;Serif"/>
          <w:b w:val="false"/>
          <w:i w:val="false"/>
          <w:caps w:val="false"/>
          <w:smallCaps w:val="false"/>
          <w:sz w:val="20"/>
        </w:rPr>
        <w:t xml:space="preserve">60 months through the release of DLC’s and additional </w:t>
      </w:r>
      <w:r>
        <w:rPr>
          <w:rFonts w:ascii="Times New Roman;Times;Serif" w:hAnsi="Times New Roman;Times;Serif"/>
          <w:b w:val="false"/>
          <w:i/>
          <w:caps w:val="false"/>
          <w:smallCaps w:val="false"/>
          <w:sz w:val="20"/>
        </w:rPr>
        <w:t xml:space="preserve">ARK </w:t>
      </w:r>
      <w:r>
        <w:rPr>
          <w:rFonts w:ascii="Times New Roman;Times;Serif" w:hAnsi="Times New Roman;Times;Serif"/>
          <w:b w:val="false"/>
          <w:i w:val="false"/>
          <w:caps w:val="false"/>
          <w:smallCaps w:val="false"/>
          <w:sz w:val="20"/>
        </w:rPr>
        <w:t>titles. The remaining $</w:t>
      </w:r>
      <w:bookmarkStart w:id="628" w:name="xdx_90C_ecustom--RevenueRemainingPerform"/>
      <w:bookmarkEnd w:id="628"/>
      <w:r>
        <w:rPr>
          <w:rFonts w:ascii="Times New Roman;Times;Serif" w:hAnsi="Times New Roman;Times;Serif"/>
          <w:b w:val="false"/>
          <w:i w:val="false"/>
          <w:caps w:val="false"/>
          <w:smallCaps w:val="false"/>
          <w:sz w:val="20"/>
        </w:rPr>
        <w:t>3.7 million of current non-refundable deferred revenues and $</w:t>
      </w:r>
      <w:bookmarkStart w:id="629" w:name="xdx_90C_ecustom--RevenueRemainingPerform"/>
      <w:bookmarkEnd w:id="629"/>
      <w:r>
        <w:rPr>
          <w:rFonts w:ascii="Times New Roman;Times;Serif" w:hAnsi="Times New Roman;Times;Serif"/>
          <w:b w:val="false"/>
          <w:i w:val="false"/>
          <w:caps w:val="false"/>
          <w:smallCaps w:val="false"/>
          <w:sz w:val="20"/>
        </w:rPr>
        <w:t xml:space="preserve">2.8 million of long term non-refundable deferred revenue will be recognized as revenue primarily on a straight-line basis over the next </w:t>
      </w:r>
      <w:bookmarkStart w:id="630" w:name="xdx_905_ecustom--ContractWithCustomerLia"/>
      <w:bookmarkEnd w:id="630"/>
      <w:r>
        <w:rPr>
          <w:rFonts w:ascii="Times New Roman;Times;Serif" w:hAnsi="Times New Roman;Times;Serif"/>
          <w:b w:val="false"/>
          <w:i w:val="false"/>
          <w:caps w:val="false"/>
          <w:smallCaps w:val="false"/>
          <w:sz w:val="20"/>
        </w:rPr>
        <w:t>60 months, based on our estimates of technical support obligations, the usage of consumable virtual goods and estimated period of time an end user will play the game. The Company’s refundable deferred revenue consists of $</w:t>
      </w:r>
      <w:bookmarkStart w:id="631" w:name="xdx_90D_eus-gaap--DeferredRevenueCurrent"/>
      <w:bookmarkStart w:id="632" w:name="xdx_901_eus-gaap--DeferredRevenueCurrent"/>
      <w:bookmarkEnd w:id="631"/>
      <w:bookmarkEnd w:id="632"/>
      <w:r>
        <w:rPr>
          <w:rFonts w:ascii="Times New Roman;Times;Serif" w:hAnsi="Times New Roman;Times;Serif"/>
          <w:b w:val="false"/>
          <w:i w:val="false"/>
          <w:caps w:val="false"/>
          <w:smallCaps w:val="false"/>
          <w:sz w:val="20"/>
        </w:rPr>
        <w:t>1.1 million in advance payments received in accordance with the agreement the Company has made with its retail distributor. Activities in the Company’s deferred revenue as of December 31, 2025 and 2024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3" w:name="xdx_8BC_z1oyitW5lUa6"/>
      <w:bookmarkStart w:id="634" w:name="xdx_891_ecustom--ScheduleOfDeferredReven"/>
      <w:bookmarkEnd w:id="633"/>
      <w:bookmarkEnd w:id="634"/>
      <w:r>
        <w:rPr>
          <w:rFonts w:ascii="Times New Roman;Times;Serif" w:hAnsi="Times New Roman;Times;Serif"/>
          <w:b w:val="false"/>
          <w:i w:val="false"/>
          <w:caps w:val="false"/>
          <w:smallCaps w:val="false"/>
          <w:sz w:val="20"/>
        </w:rPr>
        <w:t>SCHEDULE OF DEFERRED REVENUE</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Deferred revenue, beginning balance in advance of revenue recognition billing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35" w:name="xdx_98E_eus-gaap--ContractWithCustomerLi"/>
            <w:bookmarkEnd w:id="635"/>
          </w:p>
        </w:tc>
        <w:tc>
          <w:tcPr>
            <w:tcW w:w="1175" w:type="dxa"/>
            <w:tcBorders/>
            <w:shd w:fill="CCEEFF" w:val="clear"/>
            <w:vAlign w:val="center"/>
          </w:tcPr>
          <w:p>
            <w:pPr>
              <w:pStyle w:val="TableContents"/>
              <w:bidi w:val="0"/>
              <w:spacing w:before="0" w:after="283"/>
              <w:jc w:val="right"/>
              <w:rPr/>
            </w:pPr>
            <w:r>
              <w:rPr/>
              <w:t>25,467,447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36" w:name="xdx_98C_eus-gaap--ContractWithCustomerLi"/>
            <w:bookmarkEnd w:id="636"/>
          </w:p>
        </w:tc>
        <w:tc>
          <w:tcPr>
            <w:tcW w:w="1175" w:type="dxa"/>
            <w:tcBorders/>
            <w:shd w:fill="CCEEFF" w:val="clear"/>
            <w:vAlign w:val="center"/>
          </w:tcPr>
          <w:p>
            <w:pPr>
              <w:pStyle w:val="TableContents"/>
              <w:bidi w:val="0"/>
              <w:spacing w:before="0" w:after="283"/>
              <w:jc w:val="right"/>
              <w:rPr/>
            </w:pPr>
            <w:r>
              <w:rPr/>
              <w:t>34,316,706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7" w:name="xdx_98E_eus-gaap--ContractWithCustomerLi"/>
            <w:bookmarkEnd w:id="637"/>
          </w:p>
        </w:tc>
        <w:tc>
          <w:tcPr>
            <w:tcW w:w="1175" w:type="dxa"/>
            <w:tcBorders/>
            <w:shd w:fill="FFFFFF" w:val="clear"/>
            <w:vAlign w:val="center"/>
          </w:tcPr>
          <w:p>
            <w:pPr>
              <w:pStyle w:val="TableContents"/>
              <w:bidi w:val="0"/>
              <w:spacing w:before="0" w:after="283"/>
              <w:jc w:val="right"/>
              <w:rPr/>
            </w:pPr>
            <w:r>
              <w:rPr/>
              <w:t>(2,453,623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8" w:name="xdx_98B_eus-gaap--ContractWithCustomerLi"/>
            <w:bookmarkEnd w:id="638"/>
          </w:p>
        </w:tc>
        <w:tc>
          <w:tcPr>
            <w:tcW w:w="1175" w:type="dxa"/>
            <w:tcBorders/>
            <w:shd w:fill="FFFFFF" w:val="clear"/>
            <w:vAlign w:val="center"/>
          </w:tcPr>
          <w:p>
            <w:pPr>
              <w:pStyle w:val="TableContents"/>
              <w:bidi w:val="0"/>
              <w:spacing w:before="0" w:after="283"/>
              <w:jc w:val="right"/>
              <w:rPr/>
            </w:pPr>
            <w:r>
              <w:rPr/>
              <w:t>(18,506,635</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Revenue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9" w:name="xdx_989_ecustom--ContractWithCustomerLia"/>
            <w:bookmarkEnd w:id="639"/>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9,068,701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0" w:name="xdx_98B_ecustom--ContractWithCustomerLia"/>
            <w:bookmarkEnd w:id="640"/>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9,657,376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Deferred revenue,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1" w:name="xdx_98F_eus-gaap--ContractWithCustomerLi"/>
            <w:bookmarkEnd w:id="641"/>
          </w:p>
        </w:tc>
        <w:tc>
          <w:tcPr>
            <w:tcW w:w="1175" w:type="dxa"/>
            <w:tcBorders/>
            <w:shd w:fill="FFFFFF" w:val="clear"/>
            <w:vAlign w:val="center"/>
          </w:tcPr>
          <w:p>
            <w:pPr>
              <w:pStyle w:val="TableContents"/>
              <w:bidi w:val="0"/>
              <w:spacing w:before="0" w:after="283"/>
              <w:jc w:val="right"/>
              <w:rPr/>
            </w:pPr>
            <w:r>
              <w:rPr/>
              <w:t>32,082,525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2" w:name="xdx_989_eus-gaap--ContractWithCustomerLi"/>
            <w:bookmarkEnd w:id="642"/>
          </w:p>
        </w:tc>
        <w:tc>
          <w:tcPr>
            <w:tcW w:w="1175" w:type="dxa"/>
            <w:tcBorders/>
            <w:shd w:fill="FFFFFF" w:val="clear"/>
            <w:vAlign w:val="center"/>
          </w:tcPr>
          <w:p>
            <w:pPr>
              <w:pStyle w:val="TableContents"/>
              <w:bidi w:val="0"/>
              <w:spacing w:before="0" w:after="283"/>
              <w:jc w:val="right"/>
              <w:rPr/>
            </w:pPr>
            <w:r>
              <w:rPr/>
              <w:t>25,467,447</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3" w:name="xdx_980_eus-gaap--ContractWithCustomerLi"/>
            <w:bookmarkEnd w:id="643"/>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(14,799,840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4" w:name="xdx_989_eus-gaap--ContractWithCustomerLi"/>
            <w:bookmarkEnd w:id="644"/>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(3,947,559</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Deferred revenue,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5" w:name="xdx_985_eus-gaap--ContractWithCustomerLi"/>
            <w:bookmarkEnd w:id="645"/>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17,282,685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6" w:name="xdx_98B_eus-gaap--ContractWithCustomerLi"/>
            <w:bookmarkEnd w:id="64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21,519,888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47" w:name="xdx_8AB_z4SirmY4dek5"/>
      <w:bookmarkEnd w:id="64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8" w:name="xdx_80B_ecustom--CashCashEquivalentsRest"/>
      <w:bookmarkEnd w:id="648"/>
      <w:r>
        <w:rPr>
          <w:rFonts w:ascii="Times New Roman;Times;Serif" w:hAnsi="Times New Roman;Times;Serif"/>
          <w:b/>
          <w:i w:val="false"/>
          <w:caps w:val="false"/>
          <w:smallCaps w:val="false"/>
          <w:sz w:val="20"/>
        </w:rPr>
        <w:t xml:space="preserve">NOTE 4 – </w:t>
      </w:r>
      <w:bookmarkStart w:id="649" w:name="xdx_82F_zMOUU34Wrrei"/>
      <w:bookmarkEnd w:id="649"/>
      <w:r>
        <w:rPr>
          <w:rFonts w:ascii="Times New Roman;Times;Serif" w:hAnsi="Times New Roman;Times;Serif"/>
          <w:b/>
          <w:i w:val="false"/>
          <w:caps w:val="false"/>
          <w:smallCaps w:val="false"/>
          <w:sz w:val="20"/>
        </w:rPr>
        <w:t>CASH AND CASH EQUIVALENTS, AND RESTRICTED CASH AND CASH EQUIVALENTS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valued using quoted market prices or other readily available market information. The Company has restricted cash and cash equivalents of $</w:t>
      </w:r>
      <w:bookmarkStart w:id="650" w:name="xdx_90D_eus-gaap--RestrictedCashAndCashE"/>
      <w:bookmarkEnd w:id="650"/>
      <w:r>
        <w:rPr>
          <w:rFonts w:ascii="Times New Roman;Times;Serif" w:hAnsi="Times New Roman;Times;Serif"/>
          <w:b w:val="false"/>
          <w:i w:val="false"/>
          <w:caps w:val="false"/>
          <w:smallCaps w:val="false"/>
          <w:sz w:val="20"/>
        </w:rPr>
        <w:t>1,935,000 and $</w:t>
      </w:r>
      <w:bookmarkStart w:id="651" w:name="xdx_902_eus-gaap--RestrictedCashAndCashE"/>
      <w:bookmarkEnd w:id="651"/>
      <w:r>
        <w:rPr>
          <w:rFonts w:ascii="Times New Roman;Times;Serif" w:hAnsi="Times New Roman;Times;Serif"/>
          <w:b w:val="false"/>
          <w:i w:val="false"/>
          <w:caps w:val="false"/>
          <w:smallCaps w:val="false"/>
          <w:sz w:val="20"/>
        </w:rPr>
        <w:t>935,000 as of December 31, 2025 and 2024, respectively. The amounts of restricted cash and cash equivalents held as of December 31, 2025 and 2024, are to secure the standby letter of credit with landlords and reflect collateral held in reserve related to the Company’s revolving line of credit. The following table summarizes the components of the Company’s cash and cash equivalents, and restricted cash and cash equivalents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2" w:name="xdx_8B1_zfoLMbqQTAX2"/>
      <w:bookmarkStart w:id="653" w:name="xdx_894_ecustom--ScheduleOfCashCashEquiv"/>
      <w:bookmarkEnd w:id="652"/>
      <w:bookmarkEnd w:id="653"/>
      <w:r>
        <w:rPr>
          <w:rFonts w:ascii="Times New Roman;Times;Serif" w:hAnsi="Times New Roman;Times;Serif"/>
          <w:b w:val="false"/>
          <w:i w:val="false"/>
          <w:caps w:val="false"/>
          <w:smallCaps w:val="false"/>
          <w:sz w:val="20"/>
        </w:rPr>
        <w:t>SUMMARY OF COMPONENTS OF CASH AND CASH EQUIVALENTS AND RESTRICTED CASH AND CASH EQUIVALENTS</w:t>
      </w:r>
    </w:p>
    <w:tbl>
      <w:tblPr>
        <w:tblW w:w="9010" w:type="dxa"/>
        <w:jc w:val="left"/>
        <w:tblInd w:w="0" w:type="dxa"/>
        <w:tblLayout w:type="fixed"/>
        <w:tblCellMar>
          <w:top w:w="0" w:type="dxa"/>
          <w:left w:w="0" w:type="dxa"/>
          <w:bottom w:w="0" w:type="dxa"/>
          <w:right w:w="0" w:type="dxa"/>
        </w:tblCellMar>
      </w:tblPr>
      <w:tblGrid>
        <w:gridCol w:w="6395"/>
        <w:gridCol w:w="60"/>
        <w:gridCol w:w="140"/>
        <w:gridCol w:w="1100"/>
        <w:gridCol w:w="60"/>
        <w:gridCol w:w="60"/>
        <w:gridCol w:w="140"/>
        <w:gridCol w:w="980"/>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54" w:name="xdx_491_20251231_z4xGc7YTpe2h"/>
            <w:bookmarkEnd w:id="65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5" w:name="xdx_493_20241231_z4EgGpkc0nVe"/>
            <w:bookmarkEnd w:id="65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56" w:name="xdx_403_eus-gaap--CashAndCashEquivalents"/>
            <w:bookmarkEnd w:id="656"/>
          </w:p>
        </w:tc>
      </w:tr>
      <w:tr>
        <w:trPr/>
        <w:tc>
          <w:tcPr>
            <w:tcW w:w="63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8,568,164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7,303,944</w:t>
            </w:r>
          </w:p>
        </w:tc>
        <w:tc>
          <w:tcPr>
            <w:tcW w:w="75" w:type="dxa"/>
            <w:tcBorders/>
            <w:shd w:fill="CCEEFF" w:val="clear"/>
            <w:vAlign w:val="center"/>
          </w:tcPr>
          <w:p>
            <w:pPr>
              <w:pStyle w:val="TableContents"/>
              <w:bidi w:val="0"/>
              <w:spacing w:before="0" w:after="283"/>
              <w:jc w:val="left"/>
              <w:rPr/>
            </w:pPr>
            <w:r>
              <w:rPr/>
              <w:t> </w:t>
            </w:r>
            <w:bookmarkStart w:id="657" w:name="xdx_404_eus-gaap--RestrictedCashAndCashE"/>
            <w:bookmarkEnd w:id="657"/>
          </w:p>
        </w:tc>
      </w:tr>
      <w:tr>
        <w:trPr/>
        <w:tc>
          <w:tcPr>
            <w:tcW w:w="6395" w:type="dxa"/>
            <w:tcBorders/>
            <w:shd w:fill="FFFFFF" w:val="clear"/>
            <w:vAlign w:val="center"/>
          </w:tcPr>
          <w:p>
            <w:pPr>
              <w:pStyle w:val="TableContents"/>
              <w:bidi w:val="0"/>
              <w:spacing w:before="0" w:after="283"/>
              <w:jc w:val="left"/>
              <w:rPr/>
            </w:pPr>
            <w:r>
              <w:rPr/>
              <w:t>Restricted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935,000</w:t>
            </w:r>
          </w:p>
        </w:tc>
        <w:tc>
          <w:tcPr>
            <w:tcW w:w="75" w:type="dxa"/>
            <w:tcBorders/>
            <w:shd w:fill="FFFFFF" w:val="clear"/>
            <w:vAlign w:val="center"/>
          </w:tcPr>
          <w:p>
            <w:pPr>
              <w:pStyle w:val="TableContents"/>
              <w:bidi w:val="0"/>
              <w:spacing w:before="0" w:after="283"/>
              <w:jc w:val="left"/>
              <w:rPr/>
            </w:pPr>
            <w:r>
              <w:rPr/>
              <w:t> </w:t>
            </w:r>
            <w:bookmarkStart w:id="658" w:name="xdx_40F_eus-gaap--CashCashEquivalentsRes"/>
            <w:bookmarkEnd w:id="658"/>
          </w:p>
        </w:tc>
      </w:tr>
      <w:tr>
        <w:trPr/>
        <w:tc>
          <w:tcPr>
            <w:tcW w:w="6395" w:type="dxa"/>
            <w:tcBorders/>
            <w:shd w:fill="CCEEFF" w:val="clear"/>
            <w:vAlign w:val="center"/>
          </w:tcPr>
          <w:p>
            <w:pPr>
              <w:pStyle w:val="TableContents"/>
              <w:bidi w:val="0"/>
              <w:spacing w:before="0" w:after="283"/>
              <w:jc w:val="left"/>
              <w:rPr/>
            </w:pPr>
            <w:r>
              <w:rPr/>
              <w:t>Cash and cash equivalents, and restricted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10,503,164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8,238,944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9" w:name="xdx_8A5_z2itvP9wKXai"/>
      <w:bookmarkEnd w:id="6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0" w:name="xdx_809_ecustom--RelatedPartyTransaction"/>
      <w:bookmarkEnd w:id="660"/>
      <w:r>
        <w:rPr>
          <w:rFonts w:ascii="Times New Roman;Times;Serif" w:hAnsi="Times New Roman;Times;Serif"/>
          <w:b/>
          <w:i w:val="false"/>
          <w:caps w:val="false"/>
          <w:smallCaps w:val="false"/>
          <w:sz w:val="20"/>
        </w:rPr>
        <w:t xml:space="preserve">NOTE 5 – </w:t>
      </w:r>
      <w:bookmarkStart w:id="661" w:name="xdx_825_z6bSGFadVtN3"/>
      <w:bookmarkEnd w:id="661"/>
      <w:r>
        <w:rPr>
          <w:rFonts w:ascii="Times New Roman;Times;Serif" w:hAnsi="Times New Roman;Times;Serif"/>
          <w:b/>
          <w:i w:val="false"/>
          <w:caps w:val="false"/>
          <w:smallCaps w:val="false"/>
          <w:sz w:val="20"/>
        </w:rPr>
        <w:t>ACCOUNTS RECEIVABLE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w:t>
      </w:r>
      <w:bookmarkStart w:id="662" w:name="xdx_905_ecustom--RelatedPartyTransaction"/>
      <w:bookmarkEnd w:id="662"/>
      <w:r>
        <w:rPr>
          <w:rFonts w:ascii="Times New Roman;Times;Serif" w:hAnsi="Times New Roman;Times;Serif"/>
          <w:b w:val="false"/>
          <w:i w:val="false"/>
          <w:caps w:val="false"/>
          <w:smallCaps w:val="false"/>
          <w:sz w:val="20"/>
        </w:rPr>
        <w:t>100% owned and controlled by the wife of the Founder, 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w:t>
      </w:r>
      <w:bookmarkStart w:id="663" w:name="xdx_908_ecustom--AccountsPayableOffsetWi"/>
      <w:bookmarkEnd w:id="663"/>
      <w:r>
        <w:rPr>
          <w:rFonts w:ascii="Times New Roman;Times;Serif" w:hAnsi="Times New Roman;Times;Serif"/>
          <w:b w:val="false"/>
          <w:i w:val="false"/>
          <w:caps w:val="false"/>
          <w:smallCaps w:val="false"/>
          <w:sz w:val="20"/>
        </w:rPr>
        <w:t>0.5 million per month, or $</w:t>
      </w:r>
      <w:bookmarkStart w:id="664" w:name="xdx_90E_ecustom--AccountsPayableOffsetWi"/>
      <w:bookmarkEnd w:id="664"/>
      <w:r>
        <w:rPr>
          <w:rFonts w:ascii="Times New Roman;Times;Serif" w:hAnsi="Times New Roman;Times;Serif"/>
          <w:b w:val="false"/>
          <w:i w:val="false"/>
          <w:caps w:val="false"/>
          <w:smallCaps w:val="false"/>
          <w:sz w:val="20"/>
        </w:rPr>
        <w:t>6.0 million annually, beginning in January 2024, until the receivable has been collected or offset in full. To reflect the timing of the offset agreement, a portion of the SDE receivable is presented as a long-term asset as of December 31, 2024. During the years ended December 31, 2025 and 2024, the Company made cash payments to SDE in the amount of $</w:t>
      </w:r>
      <w:bookmarkStart w:id="665" w:name="xdx_90D_ecustom--PaymentsForCash_iI_pn5n"/>
      <w:bookmarkEnd w:id="665"/>
      <w:r>
        <w:rPr>
          <w:rFonts w:ascii="Times New Roman;Times;Serif" w:hAnsi="Times New Roman;Times;Serif"/>
          <w:b w:val="false"/>
          <w:i w:val="false"/>
          <w:caps w:val="false"/>
          <w:smallCaps w:val="false"/>
          <w:sz w:val="20"/>
        </w:rPr>
        <w:t>40.2 million and $</w:t>
      </w:r>
      <w:bookmarkStart w:id="666" w:name="xdx_900_ecustom--PaymentsForCash_iI_pn5n"/>
      <w:bookmarkEnd w:id="666"/>
      <w:r>
        <w:rPr>
          <w:rFonts w:ascii="Times New Roman;Times;Serif" w:hAnsi="Times New Roman;Times;Serif"/>
          <w:b w:val="false"/>
          <w:i w:val="false"/>
          <w:caps w:val="false"/>
          <w:smallCaps w:val="false"/>
          <w:sz w:val="20"/>
        </w:rPr>
        <w:t>43.5 million, respectively and anticipates continuing to make cash payment to SDE in future years. As of December 31, 2025 and 2024, the outstanding balance of net accounts (payable) receivable from related party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7" w:name="xdx_8B3_zUYKBIHFX5g4"/>
      <w:bookmarkStart w:id="668" w:name="xdx_898_ecustom--ScheduleOfRelatedPartyT"/>
      <w:bookmarkEnd w:id="667"/>
      <w:bookmarkEnd w:id="668"/>
      <w:r>
        <w:rPr>
          <w:rFonts w:ascii="Times New Roman;Times;Serif" w:hAnsi="Times New Roman;Times;Serif"/>
          <w:b w:val="false"/>
          <w:i w:val="false"/>
          <w:caps w:val="false"/>
          <w:smallCaps w:val="false"/>
          <w:sz w:val="20"/>
        </w:rPr>
        <w:t>SCHEDULE OF ACCOUNTS RECEIVABLE (PAYABLE) - RELATED PARTY</w:t>
      </w:r>
    </w:p>
    <w:tbl>
      <w:tblPr>
        <w:tblW w:w="8720" w:type="dxa"/>
        <w:jc w:val="left"/>
        <w:tblInd w:w="0" w:type="dxa"/>
        <w:tblLayout w:type="fixed"/>
        <w:tblCellMar>
          <w:top w:w="0" w:type="dxa"/>
          <w:left w:w="0" w:type="dxa"/>
          <w:bottom w:w="0" w:type="dxa"/>
          <w:right w:w="0" w:type="dxa"/>
        </w:tblCellMar>
      </w:tblPr>
      <w:tblGrid>
        <w:gridCol w:w="6005"/>
        <w:gridCol w:w="60"/>
        <w:gridCol w:w="140"/>
        <w:gridCol w:w="1055"/>
        <w:gridCol w:w="95"/>
        <w:gridCol w:w="60"/>
        <w:gridCol w:w="140"/>
        <w:gridCol w:w="1055"/>
        <w:gridCol w:w="110"/>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9" w:name="xdx_496_20251231_z6wk2wLHGdk"/>
            <w:bookmarkEnd w:id="669"/>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0" w:name="xdx_494_20241231_z6ntCzd17AB3"/>
            <w:bookmarkEnd w:id="67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71" w:name="xdx_409_eus-gaap--AccountsReceivableGros"/>
            <w:bookmarkEnd w:id="671"/>
          </w:p>
        </w:tc>
      </w:tr>
      <w:tr>
        <w:trPr/>
        <w:tc>
          <w:tcPr>
            <w:tcW w:w="6005" w:type="dxa"/>
            <w:tcBorders/>
            <w:shd w:fill="CCEEFF" w:val="clear"/>
            <w:vAlign w:val="center"/>
          </w:tcPr>
          <w:p>
            <w:pPr>
              <w:pStyle w:val="TableContents"/>
              <w:bidi w:val="0"/>
              <w:spacing w:before="0" w:after="283"/>
              <w:jc w:val="left"/>
              <w:rPr/>
            </w:pPr>
            <w:r>
              <w:rPr/>
              <w:t>Accounts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1,500,592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7,500,592</w:t>
            </w:r>
          </w:p>
        </w:tc>
        <w:tc>
          <w:tcPr>
            <w:tcW w:w="110" w:type="dxa"/>
            <w:tcBorders/>
            <w:shd w:fill="CCEEFF" w:val="clear"/>
            <w:vAlign w:val="center"/>
          </w:tcPr>
          <w:p>
            <w:pPr>
              <w:pStyle w:val="TableContents"/>
              <w:bidi w:val="0"/>
              <w:spacing w:before="0" w:after="283"/>
              <w:jc w:val="left"/>
              <w:rPr/>
            </w:pPr>
            <w:r>
              <w:rPr/>
              <w:t> </w:t>
            </w:r>
            <w:bookmarkStart w:id="672" w:name="xdx_409_eus-gaap--AccountsPayableCurrent"/>
            <w:bookmarkEnd w:id="672"/>
          </w:p>
        </w:tc>
      </w:tr>
      <w:tr>
        <w:trPr/>
        <w:tc>
          <w:tcPr>
            <w:tcW w:w="6005" w:type="dxa"/>
            <w:tcBorders/>
            <w:shd w:fill="FFFFFF" w:val="clear"/>
            <w:vAlign w:val="center"/>
          </w:tcPr>
          <w:p>
            <w:pPr>
              <w:pStyle w:val="TableContents"/>
              <w:bidi w:val="0"/>
              <w:spacing w:before="0" w:after="283"/>
              <w:jc w:val="left"/>
              <w:rPr/>
            </w:pPr>
            <w:r>
              <w:rPr/>
              <w:t>Less: accounts payable – related party – SDE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(6,008,842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(3,663,726</w:t>
            </w:r>
          </w:p>
        </w:tc>
        <w:tc>
          <w:tcPr>
            <w:tcW w:w="110" w:type="dxa"/>
            <w:tcBorders/>
            <w:shd w:fill="FFFFFF" w:val="clear"/>
            <w:vAlign w:val="center"/>
          </w:tcPr>
          <w:p>
            <w:pPr>
              <w:pStyle w:val="TableContents"/>
              <w:bidi w:val="0"/>
              <w:spacing w:before="0" w:after="283"/>
              <w:jc w:val="left"/>
              <w:rPr/>
            </w:pPr>
            <w:r>
              <w:rPr/>
              <w:t>)</w:t>
            </w:r>
            <w:bookmarkStart w:id="673" w:name="xdx_401_ecustom--AccountsReceivablePayab"/>
            <w:bookmarkEnd w:id="673"/>
          </w:p>
        </w:tc>
      </w:tr>
      <w:tr>
        <w:trPr/>
        <w:tc>
          <w:tcPr>
            <w:tcW w:w="6005" w:type="dxa"/>
            <w:tcBorders/>
            <w:shd w:fill="CCEEFF" w:val="clear"/>
            <w:vAlign w:val="center"/>
          </w:tcPr>
          <w:p>
            <w:pPr>
              <w:pStyle w:val="TableContents"/>
              <w:bidi w:val="0"/>
              <w:spacing w:before="0" w:after="283"/>
              <w:jc w:val="left"/>
              <w:rPr/>
            </w:pPr>
            <w:r>
              <w:rPr/>
              <w:t>Net accounts receivable (payable), related party – SDE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(4,508,250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3,836,866</w:t>
            </w:r>
          </w:p>
        </w:tc>
        <w:tc>
          <w:tcPr>
            <w:tcW w:w="110" w:type="dxa"/>
            <w:tcBorders/>
            <w:shd w:fill="CCEEFF" w:val="clear"/>
            <w:vAlign w:val="center"/>
          </w:tcPr>
          <w:p>
            <w:pPr>
              <w:pStyle w:val="TableContents"/>
              <w:bidi w:val="0"/>
              <w:spacing w:before="0" w:after="283"/>
              <w:jc w:val="left"/>
              <w:rPr/>
            </w:pPr>
            <w:r>
              <w:rPr/>
              <w:t> </w:t>
            </w:r>
            <w:bookmarkStart w:id="674" w:name="xdx_406_eus-gaap--AccountsReceivableNetN"/>
            <w:bookmarkEnd w:id="674"/>
          </w:p>
        </w:tc>
      </w:tr>
      <w:tr>
        <w:trPr/>
        <w:tc>
          <w:tcPr>
            <w:tcW w:w="6005" w:type="dxa"/>
            <w:tcBorders/>
            <w:shd w:fill="FFFFFF" w:val="clear"/>
            <w:vAlign w:val="center"/>
          </w:tcPr>
          <w:p>
            <w:pPr>
              <w:pStyle w:val="TableContents"/>
              <w:bidi w:val="0"/>
              <w:spacing w:before="0" w:after="283"/>
              <w:jc w:val="left"/>
              <w:rPr/>
            </w:pPr>
            <w:r>
              <w:rPr/>
              <w:t>Less: accounts receivable – related party,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(1,500,592</w:t>
            </w:r>
          </w:p>
        </w:tc>
        <w:tc>
          <w:tcPr>
            <w:tcW w:w="110" w:type="dxa"/>
            <w:tcBorders/>
            <w:shd w:fill="FFFFFF" w:val="clear"/>
            <w:vAlign w:val="center"/>
          </w:tcPr>
          <w:p>
            <w:pPr>
              <w:pStyle w:val="TableContents"/>
              <w:bidi w:val="0"/>
              <w:spacing w:before="0" w:after="283"/>
              <w:jc w:val="left"/>
              <w:rPr/>
            </w:pPr>
            <w:r>
              <w:rPr/>
              <w:t>)</w:t>
            </w:r>
            <w:bookmarkStart w:id="675" w:name="xdx_401_ecustom--AccountsReceivablePayab"/>
            <w:bookmarkEnd w:id="675"/>
          </w:p>
        </w:tc>
      </w:tr>
      <w:tr>
        <w:trPr/>
        <w:tc>
          <w:tcPr>
            <w:tcW w:w="6005" w:type="dxa"/>
            <w:tcBorders/>
            <w:shd w:fill="CCEEFF" w:val="clear"/>
            <w:vAlign w:val="center"/>
          </w:tcPr>
          <w:p>
            <w:pPr>
              <w:pStyle w:val="TableContents"/>
              <w:bidi w:val="0"/>
              <w:spacing w:before="0" w:after="283"/>
              <w:jc w:val="left"/>
              <w:rPr/>
            </w:pPr>
            <w:r>
              <w:rPr/>
              <w:t>Net accounts receivable (payable), related party, current – SDE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(4,508,250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2,336,274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76" w:name="xdx_8A3_zClbHqkdOoWl"/>
      <w:bookmarkEnd w:id="6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7" w:name="xdx_80A_ecustom--PrepaidExpensesRelatedP"/>
      <w:bookmarkEnd w:id="677"/>
      <w:r>
        <w:rPr>
          <w:rFonts w:ascii="Times New Roman;Times;Serif" w:hAnsi="Times New Roman;Times;Serif"/>
          <w:b/>
          <w:i w:val="false"/>
          <w:caps w:val="false"/>
          <w:smallCaps w:val="false"/>
          <w:sz w:val="20"/>
        </w:rPr>
        <w:t xml:space="preserve">NOTE 6 – </w:t>
      </w:r>
      <w:bookmarkStart w:id="678" w:name="xdx_82C_zyZvnTmlJlni"/>
      <w:bookmarkEnd w:id="678"/>
      <w:r>
        <w:rPr>
          <w:rFonts w:ascii="Times New Roman;Times;Serif" w:hAnsi="Times New Roman;Times;Serif"/>
          <w:b/>
          <w:i w:val="false"/>
          <w:caps w:val="false"/>
          <w:smallCaps w:val="false"/>
          <w:sz w:val="20"/>
        </w:rPr>
        <w:t>PREPAID EXPENSES - RELATED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For DLC’s, the Company plans to release during the term of the agreement, the Company has the option to pay the $</w:t>
      </w:r>
      <w:bookmarkStart w:id="679" w:name="xdx_90F_ecustom--AmountPrepaidUnderExclu"/>
      <w:bookmarkEnd w:id="679"/>
      <w:r>
        <w:rPr>
          <w:rFonts w:ascii="Times New Roman;Times;Serif" w:hAnsi="Times New Roman;Times;Serif"/>
          <w:b w:val="false"/>
          <w:i w:val="false"/>
          <w:caps w:val="false"/>
          <w:smallCaps w:val="false"/>
          <w:sz w:val="20"/>
        </w:rPr>
        <w:t>5.0 million DLC payment in whole or in part, when paid in advance; or in full, upon the DLC release. No payment for any DLC under this agreement will exceed $</w:t>
      </w:r>
      <w:bookmarkStart w:id="680" w:name="xdx_90A_ecustom--MaximumAmountPayableUnd"/>
      <w:bookmarkEnd w:id="680"/>
      <w:r>
        <w:rPr>
          <w:rFonts w:ascii="Times New Roman;Times;Serif" w:hAnsi="Times New Roman;Times;Serif"/>
          <w:b w:val="false"/>
          <w:i w:val="false"/>
          <w:caps w:val="false"/>
          <w:smallCaps w:val="false"/>
          <w:sz w:val="20"/>
        </w:rPr>
        <w:t>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made $</w:t>
      </w:r>
      <w:bookmarkStart w:id="681" w:name="xdx_904_eus-gaap--PrepaidRoyalties_iI_pn"/>
      <w:bookmarkEnd w:id="681"/>
      <w:r>
        <w:rPr>
          <w:rFonts w:ascii="Times New Roman;Times;Serif" w:hAnsi="Times New Roman;Times;Serif"/>
          <w:b w:val="false"/>
          <w:i w:val="false"/>
          <w:caps w:val="false"/>
          <w:smallCaps w:val="false"/>
          <w:sz w:val="20"/>
        </w:rPr>
        <w:t xml:space="preserve">1.6 million in prepaid royalty payments related to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2024, the Company made $</w:t>
      </w:r>
      <w:bookmarkStart w:id="682" w:name="xdx_90F_ecustom--PrepaidLicenses_iI_pn5n"/>
      <w:bookmarkEnd w:id="682"/>
      <w:r>
        <w:rPr>
          <w:rFonts w:ascii="Times New Roman;Times;Serif" w:hAnsi="Times New Roman;Times;Serif"/>
          <w:b w:val="false"/>
          <w:i w:val="false"/>
          <w:caps w:val="false"/>
          <w:smallCaps w:val="false"/>
          <w:sz w:val="20"/>
        </w:rPr>
        <w:t xml:space="preserve">1.7 million in prepaid royalty payments related to the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During the year ended December 31, 2025, the Company recognized $</w:t>
      </w:r>
      <w:bookmarkStart w:id="683" w:name="xdx_90A_eus-gaap--DirectTaxesAndLicenses"/>
      <w:bookmarkEnd w:id="683"/>
      <w:r>
        <w:rPr>
          <w:rFonts w:ascii="Times New Roman;Times;Serif" w:hAnsi="Times New Roman;Times;Serif"/>
          <w:b w:val="false"/>
          <w:i w:val="false"/>
          <w:caps w:val="false"/>
          <w:smallCaps w:val="false"/>
          <w:sz w:val="20"/>
        </w:rPr>
        <w:t xml:space="preserve">2.5 million of license costs upon the commercial release of the </w:t>
      </w:r>
      <w:r>
        <w:rPr>
          <w:rFonts w:ascii="Times New Roman;Times;Serif" w:hAnsi="Times New Roman;Times;Serif"/>
          <w:b w:val="false"/>
          <w:i/>
          <w:caps w:val="false"/>
          <w:smallCaps w:val="false"/>
          <w:sz w:val="20"/>
        </w:rPr>
        <w:t>Lost Colony</w:t>
      </w:r>
      <w:r>
        <w:rPr>
          <w:rFonts w:ascii="Times New Roman;Times;Serif" w:hAnsi="Times New Roman;Times;Serif"/>
          <w:b w:val="false"/>
          <w:i w:val="false"/>
          <w:caps w:val="false"/>
          <w:smallCaps w:val="false"/>
          <w:sz w:val="20"/>
        </w:rPr>
        <w:t xml:space="preserve"> DLC and recorded the amount in intangible assets – related party, net. The license fee had been previously prepaid to SDE in the prior year and was recorded as prepaid expenses until the DLC’s release in 2025. Upon release, the licensed content was placed in service and the Company began amortizing the license over its estimated useful life. Prepaid expenses – related party consisted of the following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4" w:name="xdx_8B0_ztoufH6JjIhj"/>
      <w:bookmarkStart w:id="685" w:name="xdx_891_ecustom--ScheduleOfPrepaidExpens"/>
      <w:bookmarkEnd w:id="684"/>
      <w:bookmarkEnd w:id="685"/>
      <w:r>
        <w:rPr>
          <w:rFonts w:ascii="Times New Roman;Times;Serif" w:hAnsi="Times New Roman;Times;Serif"/>
          <w:b w:val="false"/>
          <w:i w:val="false"/>
          <w:caps w:val="false"/>
          <w:smallCaps w:val="false"/>
          <w:sz w:val="20"/>
        </w:rPr>
        <w:t>SCHEDULE OF PREPAID EXPENSES - RELATED PARTY</w:t>
      </w:r>
    </w:p>
    <w:tbl>
      <w:tblPr>
        <w:tblW w:w="7460" w:type="dxa"/>
        <w:jc w:val="left"/>
        <w:tblInd w:w="0" w:type="dxa"/>
        <w:tblLayout w:type="fixed"/>
        <w:tblCellMar>
          <w:top w:w="0" w:type="dxa"/>
          <w:left w:w="0" w:type="dxa"/>
          <w:bottom w:w="0" w:type="dxa"/>
          <w:right w:w="0" w:type="dxa"/>
        </w:tblCellMar>
      </w:tblPr>
      <w:tblGrid>
        <w:gridCol w:w="4655"/>
        <w:gridCol w:w="60"/>
        <w:gridCol w:w="140"/>
        <w:gridCol w:w="1100"/>
        <w:gridCol w:w="95"/>
        <w:gridCol w:w="60"/>
        <w:gridCol w:w="140"/>
        <w:gridCol w:w="1100"/>
        <w:gridCol w:w="110"/>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6" w:name="xdx_49C_20251231__us-gaap--RelatedPartyT"/>
            <w:bookmarkEnd w:id="68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7" w:name="xdx_492_20241231__us-gaap--RelatedPartyT"/>
            <w:bookmarkEnd w:id="68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88" w:name="xdx_40A_eus-gaap--PrepaidRoyalties_iI_ma"/>
            <w:bookmarkEnd w:id="688"/>
          </w:p>
        </w:tc>
      </w:tr>
      <w:tr>
        <w:trPr/>
        <w:tc>
          <w:tcPr>
            <w:tcW w:w="4655" w:type="dxa"/>
            <w:tcBorders/>
            <w:shd w:fill="CCEEFF" w:val="clear"/>
            <w:vAlign w:val="center"/>
          </w:tcPr>
          <w:p>
            <w:pPr>
              <w:pStyle w:val="TableContents"/>
              <w:bidi w:val="0"/>
              <w:spacing w:before="0" w:after="283"/>
              <w:jc w:val="left"/>
              <w:rPr/>
            </w:pPr>
            <w:r>
              <w:rPr/>
              <w:t>Prepaid royalties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5,983,448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4,378,594</w:t>
            </w:r>
          </w:p>
        </w:tc>
        <w:tc>
          <w:tcPr>
            <w:tcW w:w="110" w:type="dxa"/>
            <w:tcBorders/>
            <w:shd w:fill="CCEEFF" w:val="clear"/>
            <w:vAlign w:val="center"/>
          </w:tcPr>
          <w:p>
            <w:pPr>
              <w:pStyle w:val="TableContents"/>
              <w:bidi w:val="0"/>
              <w:spacing w:before="0" w:after="283"/>
              <w:jc w:val="left"/>
              <w:rPr/>
            </w:pPr>
            <w:r>
              <w:rPr/>
              <w:t> </w:t>
            </w:r>
            <w:bookmarkStart w:id="689" w:name="xdx_409_ecustom--PrepaidLicenses_iI_maPE"/>
            <w:bookmarkEnd w:id="689"/>
          </w:p>
        </w:tc>
      </w:tr>
      <w:tr>
        <w:trPr/>
        <w:tc>
          <w:tcPr>
            <w:tcW w:w="4655" w:type="dxa"/>
            <w:tcBorders/>
            <w:shd w:fill="FFFFFF" w:val="clear"/>
            <w:vAlign w:val="center"/>
          </w:tcPr>
          <w:p>
            <w:pPr>
              <w:pStyle w:val="TableContents"/>
              <w:bidi w:val="0"/>
              <w:spacing w:before="0" w:after="283"/>
              <w:jc w:val="left"/>
              <w:rPr/>
            </w:pPr>
            <w:r>
              <w:rPr/>
              <w:t>Prepaid licenses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7,500,000</w:t>
            </w:r>
          </w:p>
        </w:tc>
        <w:tc>
          <w:tcPr>
            <w:tcW w:w="110" w:type="dxa"/>
            <w:tcBorders/>
            <w:shd w:fill="FFFFFF" w:val="clear"/>
            <w:vAlign w:val="center"/>
          </w:tcPr>
          <w:p>
            <w:pPr>
              <w:pStyle w:val="TableContents"/>
              <w:bidi w:val="0"/>
              <w:spacing w:before="0" w:after="283"/>
              <w:jc w:val="left"/>
              <w:rPr/>
            </w:pPr>
            <w:r>
              <w:rPr/>
              <w:t> </w:t>
            </w:r>
            <w:bookmarkStart w:id="690" w:name="xdx_407_eus-gaap--OtherPrepaidExpenseCur"/>
            <w:bookmarkEnd w:id="690"/>
          </w:p>
        </w:tc>
      </w:tr>
      <w:tr>
        <w:trPr/>
        <w:tc>
          <w:tcPr>
            <w:tcW w:w="4655"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21,291</w:t>
            </w:r>
          </w:p>
        </w:tc>
        <w:tc>
          <w:tcPr>
            <w:tcW w:w="110" w:type="dxa"/>
            <w:tcBorders/>
            <w:shd w:fill="CCEEFF" w:val="clear"/>
            <w:vAlign w:val="center"/>
          </w:tcPr>
          <w:p>
            <w:pPr>
              <w:pStyle w:val="TableContents"/>
              <w:bidi w:val="0"/>
              <w:spacing w:before="0" w:after="283"/>
              <w:jc w:val="left"/>
              <w:rPr/>
            </w:pPr>
            <w:r>
              <w:rPr/>
              <w:t> </w:t>
            </w:r>
            <w:bookmarkStart w:id="691" w:name="xdx_401_eus-gaap--PrepaidExpenseCurrentA"/>
            <w:bookmarkEnd w:id="691"/>
          </w:p>
        </w:tc>
      </w:tr>
      <w:tr>
        <w:trPr/>
        <w:tc>
          <w:tcPr>
            <w:tcW w:w="4655" w:type="dxa"/>
            <w:tcBorders/>
            <w:shd w:fill="FFFFFF" w:val="clear"/>
            <w:vAlign w:val="center"/>
          </w:tcPr>
          <w:p>
            <w:pPr>
              <w:pStyle w:val="TableContents"/>
              <w:bidi w:val="0"/>
              <w:spacing w:before="0" w:after="283"/>
              <w:jc w:val="left"/>
              <w:rPr/>
            </w:pPr>
            <w:r>
              <w:rPr/>
              <w:t>Prepaid expenses – related party, 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10,983,448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11,899,885</w:t>
            </w:r>
          </w:p>
        </w:tc>
        <w:tc>
          <w:tcPr>
            <w:tcW w:w="110" w:type="dxa"/>
            <w:tcBorders/>
            <w:shd w:fill="FFFFFF" w:val="clear"/>
            <w:vAlign w:val="center"/>
          </w:tcPr>
          <w:p>
            <w:pPr>
              <w:pStyle w:val="TableContents"/>
              <w:bidi w:val="0"/>
              <w:spacing w:before="0" w:after="283"/>
              <w:jc w:val="left"/>
              <w:rPr/>
            </w:pPr>
            <w:r>
              <w:rPr/>
              <w:t> </w:t>
            </w:r>
            <w:bookmarkStart w:id="692" w:name="xdx_407_eus-gaap--PrepaidExpenseCurrent_"/>
            <w:bookmarkEnd w:id="692"/>
          </w:p>
        </w:tc>
      </w:tr>
      <w:tr>
        <w:trPr/>
        <w:tc>
          <w:tcPr>
            <w:tcW w:w="4655" w:type="dxa"/>
            <w:tcBorders/>
            <w:shd w:fill="CCEEFF" w:val="clear"/>
            <w:vAlign w:val="center"/>
          </w:tcPr>
          <w:p>
            <w:pPr>
              <w:pStyle w:val="TableContents"/>
              <w:bidi w:val="0"/>
              <w:spacing w:before="0" w:after="283"/>
              <w:jc w:val="left"/>
              <w:rPr/>
            </w:pPr>
            <w:r>
              <w:rPr/>
              <w:t>Less: short-term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(2,700,474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(2,521,291</w:t>
            </w:r>
          </w:p>
        </w:tc>
        <w:tc>
          <w:tcPr>
            <w:tcW w:w="110" w:type="dxa"/>
            <w:tcBorders/>
            <w:shd w:fill="CCEEFF" w:val="clear"/>
            <w:vAlign w:val="center"/>
          </w:tcPr>
          <w:p>
            <w:pPr>
              <w:pStyle w:val="TableContents"/>
              <w:bidi w:val="0"/>
              <w:spacing w:before="0" w:after="283"/>
              <w:jc w:val="left"/>
              <w:rPr/>
            </w:pPr>
            <w:r>
              <w:rPr/>
              <w:t>)</w:t>
            </w:r>
            <w:bookmarkStart w:id="693" w:name="xdx_402_eus-gaap--PrepaidExpenseNoncurre"/>
            <w:bookmarkEnd w:id="693"/>
          </w:p>
        </w:tc>
      </w:tr>
      <w:tr>
        <w:trPr/>
        <w:tc>
          <w:tcPr>
            <w:tcW w:w="4655" w:type="dxa"/>
            <w:tcBorders/>
            <w:shd w:fill="FFFFFF" w:val="clear"/>
            <w:vAlign w:val="center"/>
          </w:tcPr>
          <w:p>
            <w:pPr>
              <w:pStyle w:val="TableContents"/>
              <w:bidi w:val="0"/>
              <w:spacing w:before="0" w:after="283"/>
              <w:jc w:val="left"/>
              <w:rPr/>
            </w:pPr>
            <w:r>
              <w:rPr/>
              <w:t>Total prepaid expenses – related party, long-term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8,282,974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9,378,594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4" w:name="xdx_8AA_zKRhgr1LGS28"/>
      <w:bookmarkEnd w:id="6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classified as short-term, as of December 31, 2025, and 2024, includes prepaid royalties for </w:t>
      </w:r>
      <w:r>
        <w:rPr>
          <w:rFonts w:ascii="Times New Roman;Times;Serif" w:hAnsi="Times New Roman;Times;Serif"/>
          <w:b w:val="false"/>
          <w:i/>
          <w:caps w:val="false"/>
          <w:smallCaps w:val="false"/>
          <w:sz w:val="20"/>
        </w:rPr>
        <w:t xml:space="preserve">ARK: Survival Ascended </w:t>
      </w:r>
      <w:r>
        <w:rPr>
          <w:rFonts w:ascii="Times New Roman;Times;Serif" w:hAnsi="Times New Roman;Times;Serif"/>
          <w:b w:val="false"/>
          <w:i w:val="false"/>
          <w:caps w:val="false"/>
          <w:smallCaps w:val="false"/>
          <w:sz w:val="20"/>
        </w:rPr>
        <w:t>DLC’s which have not yet been released and various operational software licenses obtained through SDE.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5" w:name="xdx_80F_ecustom--PrepaidExpensesAndOther"/>
      <w:bookmarkEnd w:id="695"/>
      <w:r>
        <w:rPr>
          <w:rFonts w:ascii="Times New Roman;Times;Serif" w:hAnsi="Times New Roman;Times;Serif"/>
          <w:b/>
          <w:i w:val="false"/>
          <w:caps w:val="false"/>
          <w:smallCaps w:val="false"/>
          <w:sz w:val="20"/>
        </w:rPr>
        <w:t xml:space="preserve">NOTE 7 – </w:t>
      </w:r>
      <w:bookmarkStart w:id="696" w:name="xdx_82B_zgQZpBTyHERd"/>
      <w:bookmarkEnd w:id="696"/>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 2025 and 2024:</w:t>
      </w:r>
    </w:p>
    <w:p>
      <w:pPr>
        <w:pStyle w:val="TextBody"/>
        <w:bidi w:val="0"/>
        <w:spacing w:before="0" w:after="0"/>
        <w:ind w:left="0" w:right="0" w:hanging="0"/>
        <w:jc w:val="both"/>
        <w:rPr>
          <w:caps w:val="false"/>
          <w:smallCaps w:val="false"/>
        </w:rPr>
      </w:pPr>
      <w:bookmarkStart w:id="697" w:name="xdx_892_eus-gaap--DeferredCostsCapitaliz"/>
      <w:bookmarkEnd w:id="697"/>
      <w:r>
        <w:rPr>
          <w:caps w:val="false"/>
          <w:smallCaps w:val="false"/>
        </w:rPr>
        <w:t> </w:t>
      </w:r>
      <w:bookmarkStart w:id="698" w:name="xdx_8BC_z3PgyTE62slb"/>
      <w:bookmarkEnd w:id="698"/>
      <w:r>
        <w:rPr>
          <w:rFonts w:ascii="Times New Roman;Times;Serif" w:hAnsi="Times New Roman;Times;Serif"/>
          <w:b w:val="false"/>
          <w:i w:val="false"/>
          <w:caps w:val="false"/>
          <w:smallCaps w:val="false"/>
          <w:sz w:val="20"/>
        </w:rPr>
        <w:t>SCHEDULE OF PREPAID EXPENSES AND OTHER CURRENT ASSETS </w:t>
      </w:r>
    </w:p>
    <w:tbl>
      <w:tblPr>
        <w:tblW w:w="6970" w:type="dxa"/>
        <w:jc w:val="left"/>
        <w:tblInd w:w="0" w:type="dxa"/>
        <w:tblLayout w:type="fixed"/>
        <w:tblCellMar>
          <w:top w:w="0" w:type="dxa"/>
          <w:left w:w="0" w:type="dxa"/>
          <w:bottom w:w="0" w:type="dxa"/>
          <w:right w:w="0" w:type="dxa"/>
        </w:tblCellMar>
      </w:tblPr>
      <w:tblGrid>
        <w:gridCol w:w="4475"/>
        <w:gridCol w:w="60"/>
        <w:gridCol w:w="140"/>
        <w:gridCol w:w="980"/>
        <w:gridCol w:w="60"/>
        <w:gridCol w:w="60"/>
        <w:gridCol w:w="140"/>
        <w:gridCol w:w="980"/>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99" w:name="xdx_496_20251231_zi5E9Rlni1Ed"/>
            <w:bookmarkEnd w:id="69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0" w:name="xdx_493_20241231_zgiVOIQzVsjk"/>
            <w:bookmarkEnd w:id="70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701" w:name="xdx_40A_ecustom--PrepaidOtherReceivable_"/>
            <w:bookmarkEnd w:id="701"/>
          </w:p>
        </w:tc>
      </w:tr>
      <w:tr>
        <w:trPr/>
        <w:tc>
          <w:tcPr>
            <w:tcW w:w="447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979,137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549,103</w:t>
            </w:r>
          </w:p>
        </w:tc>
        <w:tc>
          <w:tcPr>
            <w:tcW w:w="75" w:type="dxa"/>
            <w:tcBorders/>
            <w:shd w:fill="CCEEFF" w:val="clear"/>
            <w:vAlign w:val="center"/>
          </w:tcPr>
          <w:p>
            <w:pPr>
              <w:pStyle w:val="TableContents"/>
              <w:bidi w:val="0"/>
              <w:spacing w:before="0" w:after="283"/>
              <w:jc w:val="left"/>
              <w:rPr/>
            </w:pPr>
            <w:r>
              <w:rPr/>
              <w:t> </w:t>
            </w:r>
            <w:bookmarkStart w:id="702" w:name="xdx_400_eus-gaap--DeferredOfferingCosts_"/>
            <w:bookmarkEnd w:id="702"/>
          </w:p>
        </w:tc>
      </w:tr>
      <w:tr>
        <w:trPr/>
        <w:tc>
          <w:tcPr>
            <w:tcW w:w="447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105,411</w:t>
            </w:r>
          </w:p>
        </w:tc>
        <w:tc>
          <w:tcPr>
            <w:tcW w:w="75" w:type="dxa"/>
            <w:tcBorders/>
            <w:shd w:fill="FFFFFF" w:val="clear"/>
            <w:vAlign w:val="center"/>
          </w:tcPr>
          <w:p>
            <w:pPr>
              <w:pStyle w:val="TableContents"/>
              <w:bidi w:val="0"/>
              <w:spacing w:before="0" w:after="283"/>
              <w:jc w:val="left"/>
              <w:rPr/>
            </w:pPr>
            <w:r>
              <w:rPr/>
              <w:t> </w:t>
            </w:r>
            <w:bookmarkStart w:id="703" w:name="xdx_40A_eus-gaap--OtherPrepaidExpenseCur"/>
            <w:bookmarkEnd w:id="703"/>
          </w:p>
        </w:tc>
      </w:tr>
      <w:tr>
        <w:trPr/>
        <w:tc>
          <w:tcPr>
            <w:tcW w:w="4475" w:type="dxa"/>
            <w:tcBorders/>
            <w:shd w:fill="CCEEFF" w:val="clear"/>
            <w:vAlign w:val="center"/>
          </w:tcPr>
          <w:p>
            <w:pPr>
              <w:pStyle w:val="TableContents"/>
              <w:bidi w:val="0"/>
              <w:spacing w:before="0" w:after="283"/>
              <w:jc w:val="left"/>
              <w:rPr/>
            </w:pPr>
            <w:r>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550,270</w:t>
            </w:r>
          </w:p>
        </w:tc>
        <w:tc>
          <w:tcPr>
            <w:tcW w:w="75" w:type="dxa"/>
            <w:tcBorders/>
            <w:shd w:fill="CCEEFF" w:val="clear"/>
            <w:vAlign w:val="center"/>
          </w:tcPr>
          <w:p>
            <w:pPr>
              <w:pStyle w:val="TableContents"/>
              <w:bidi w:val="0"/>
              <w:spacing w:before="0" w:after="283"/>
              <w:jc w:val="left"/>
              <w:rPr/>
            </w:pPr>
            <w:r>
              <w:rPr/>
              <w:t> </w:t>
            </w:r>
            <w:bookmarkStart w:id="704" w:name="xdx_402_eus-gaap--OtherAssetsCurrent_iI_"/>
            <w:bookmarkEnd w:id="704"/>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416,469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641,240</w:t>
            </w:r>
          </w:p>
        </w:tc>
        <w:tc>
          <w:tcPr>
            <w:tcW w:w="75" w:type="dxa"/>
            <w:tcBorders/>
            <w:shd w:fill="FFFFFF" w:val="clear"/>
            <w:vAlign w:val="center"/>
          </w:tcPr>
          <w:p>
            <w:pPr>
              <w:pStyle w:val="TableContents"/>
              <w:bidi w:val="0"/>
              <w:spacing w:before="0" w:after="283"/>
              <w:jc w:val="left"/>
              <w:rPr/>
            </w:pPr>
            <w:r>
              <w:rPr/>
              <w:t> </w:t>
            </w:r>
            <w:bookmarkStart w:id="705" w:name="xdx_404_eus-gaap--PrepaidExpenseAndOther"/>
            <w:bookmarkEnd w:id="705"/>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2,232,485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1,846,024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6" w:name="xdx_8AE_ztJmVIyeO7X1"/>
      <w:bookmarkEnd w:id="7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receivables consist of receivables related to </w:t>
      </w:r>
      <w:r>
        <w:rPr>
          <w:rFonts w:ascii="Times New Roman;Times;Serif" w:hAnsi="Times New Roman;Times;Serif"/>
          <w:b w:val="false"/>
          <w:i/>
          <w:caps w:val="false"/>
          <w:smallCaps w:val="false"/>
          <w:sz w:val="20"/>
        </w:rPr>
        <w:t xml:space="preserve">Myth of Empires </w:t>
      </w:r>
      <w:r>
        <w:rPr>
          <w:rFonts w:ascii="Times New Roman;Times;Serif" w:hAnsi="Times New Roman;Times;Serif"/>
          <w:b w:val="false"/>
          <w:i w:val="false"/>
          <w:caps w:val="false"/>
          <w:smallCaps w:val="false"/>
          <w:sz w:val="20"/>
        </w:rPr>
        <w:t>and our aforementioned interest receivable on the federal tax refund. Also included in other receivables is $</w:t>
      </w:r>
      <w:bookmarkStart w:id="707" w:name="xdx_903_eus-gaap--IncomeTaxExaminationIn"/>
      <w:bookmarkEnd w:id="707"/>
      <w:r>
        <w:rPr>
          <w:rFonts w:ascii="Times New Roman;Times;Serif" w:hAnsi="Times New Roman;Times;Serif"/>
          <w:b w:val="false"/>
          <w:i w:val="false"/>
          <w:caps w:val="false"/>
          <w:smallCaps w:val="false"/>
          <w:sz w:val="20"/>
        </w:rPr>
        <w:t>759,580 of interest income accrued on a federal income tax refund receivable arising from a carryback of the Company’s 2022 net operating loss to tax year 2016. The refund, including accrued interest, was received in February 2026 and is disclosed further in Note 20 – Subsequent Events.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8" w:name="xdx_802_eus-gaap--PropertyPlantAndEquipm"/>
      <w:bookmarkEnd w:id="708"/>
      <w:r>
        <w:rPr>
          <w:rFonts w:ascii="Times New Roman;Times;Serif" w:hAnsi="Times New Roman;Times;Serif"/>
          <w:b/>
          <w:i w:val="false"/>
          <w:caps w:val="false"/>
          <w:smallCaps w:val="false"/>
          <w:sz w:val="20"/>
        </w:rPr>
        <w:t xml:space="preserve">NOTE 8 – </w:t>
      </w:r>
      <w:bookmarkStart w:id="709" w:name="xdx_823_zPt1IDgRFMxl"/>
      <w:bookmarkEnd w:id="709"/>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0" w:name="xdx_89C_eus-gaap--PropertyPlantAndEquipm"/>
      <w:bookmarkEnd w:id="710"/>
      <w:r>
        <w:rPr>
          <w:rFonts w:ascii="Times New Roman;Times;Serif" w:hAnsi="Times New Roman;Times;Serif"/>
          <w:b w:val="false"/>
          <w:i w:val="false"/>
          <w:caps w:val="false"/>
          <w:smallCaps w:val="false"/>
          <w:sz w:val="20"/>
        </w:rPr>
        <w:t>Property and equipment, net consisted of the following as of December 31, 2025 and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11" w:name="xdx_8BC_zULj4DO6BTs1"/>
      <w:bookmarkEnd w:id="711"/>
      <w:r>
        <w:rPr>
          <w:rFonts w:ascii="Times New Roman;Times;Serif" w:hAnsi="Times New Roman;Times;Serif"/>
          <w:b w:val="false"/>
          <w:i w:val="false"/>
          <w:caps w:val="false"/>
          <w:smallCaps w:val="false"/>
          <w:sz w:val="20"/>
        </w:rPr>
        <w:t>SCHEDULE OF PROPERTY, PLANT AND EQUIPMENT, NET </w:t>
      </w:r>
    </w:p>
    <w:tbl>
      <w:tblPr>
        <w:tblW w:w="5420" w:type="dxa"/>
        <w:jc w:val="left"/>
        <w:tblInd w:w="0" w:type="dxa"/>
        <w:tblLayout w:type="fixed"/>
        <w:tblCellMar>
          <w:top w:w="0" w:type="dxa"/>
          <w:left w:w="0" w:type="dxa"/>
          <w:bottom w:w="0" w:type="dxa"/>
          <w:right w:w="0" w:type="dxa"/>
        </w:tblCellMar>
      </w:tblPr>
      <w:tblGrid>
        <w:gridCol w:w="2705"/>
        <w:gridCol w:w="60"/>
        <w:gridCol w:w="140"/>
        <w:gridCol w:w="1055"/>
        <w:gridCol w:w="95"/>
        <w:gridCol w:w="60"/>
        <w:gridCol w:w="140"/>
        <w:gridCol w:w="105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12" w:name="xdx_491_20251231_zUO5jByRQdyh"/>
            <w:bookmarkEnd w:id="71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3" w:name="xdx_492_20241231_zFydWOc5D7r2"/>
            <w:bookmarkEnd w:id="71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714" w:name="xdx_404_eus-gaap--PropertyPlantAndEquipm"/>
            <w:bookmarkEnd w:id="714"/>
          </w:p>
        </w:tc>
      </w:tr>
      <w:tr>
        <w:trPr/>
        <w:tc>
          <w:tcPr>
            <w:tcW w:w="270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1,874,049</w:t>
            </w:r>
          </w:p>
        </w:tc>
        <w:tc>
          <w:tcPr>
            <w:tcW w:w="110" w:type="dxa"/>
            <w:tcBorders/>
            <w:shd w:fill="CCEEFF" w:val="clear"/>
            <w:vAlign w:val="center"/>
          </w:tcPr>
          <w:p>
            <w:pPr>
              <w:pStyle w:val="TableContents"/>
              <w:bidi w:val="0"/>
              <w:spacing w:before="0" w:after="283"/>
              <w:jc w:val="left"/>
              <w:rPr/>
            </w:pPr>
            <w:r>
              <w:rPr/>
              <w:t> </w:t>
            </w:r>
            <w:bookmarkStart w:id="715" w:name="xdx_40B_eus-gaap--PropertyPlantAndEquipm"/>
            <w:bookmarkEnd w:id="715"/>
          </w:p>
        </w:tc>
      </w:tr>
      <w:tr>
        <w:trPr/>
        <w:tc>
          <w:tcPr>
            <w:tcW w:w="270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2,700,000</w:t>
            </w:r>
          </w:p>
        </w:tc>
        <w:tc>
          <w:tcPr>
            <w:tcW w:w="110" w:type="dxa"/>
            <w:tcBorders/>
            <w:shd w:fill="FFFFFF" w:val="clear"/>
            <w:vAlign w:val="center"/>
          </w:tcPr>
          <w:p>
            <w:pPr>
              <w:pStyle w:val="TableContents"/>
              <w:bidi w:val="0"/>
              <w:spacing w:before="0" w:after="283"/>
              <w:jc w:val="left"/>
              <w:rPr/>
            </w:pPr>
            <w:r>
              <w:rPr/>
              <w:t> </w:t>
            </w:r>
            <w:bookmarkStart w:id="716" w:name="xdx_401_eus-gaap--PropertyPlantAndEquipm"/>
            <w:bookmarkEnd w:id="716"/>
          </w:p>
        </w:tc>
      </w:tr>
      <w:tr>
        <w:trPr/>
        <w:tc>
          <w:tcPr>
            <w:tcW w:w="2705" w:type="dxa"/>
            <w:tcBorders/>
            <w:shd w:fill="CCEEFF" w:val="clear"/>
            <w:vAlign w:val="center"/>
          </w:tcPr>
          <w:p>
            <w:pPr>
              <w:pStyle w:val="TableContents"/>
              <w:bidi w:val="0"/>
              <w:spacing w:before="0" w:after="283"/>
              <w:jc w:val="left"/>
              <w:rPr/>
            </w:pPr>
            <w:r>
              <w:rPr/>
              <w:t>Building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1,010,218</w:t>
            </w:r>
          </w:p>
        </w:tc>
        <w:tc>
          <w:tcPr>
            <w:tcW w:w="110" w:type="dxa"/>
            <w:tcBorders/>
            <w:shd w:fill="CCEEFF" w:val="clear"/>
            <w:vAlign w:val="center"/>
          </w:tcPr>
          <w:p>
            <w:pPr>
              <w:pStyle w:val="TableContents"/>
              <w:bidi w:val="0"/>
              <w:spacing w:before="0" w:after="283"/>
              <w:jc w:val="left"/>
              <w:rPr/>
            </w:pPr>
            <w:r>
              <w:rPr/>
              <w:t> </w:t>
            </w:r>
            <w:bookmarkStart w:id="717" w:name="xdx_40D_eus-gaap--PropertyPlantAndEquipm"/>
            <w:bookmarkEnd w:id="717"/>
          </w:p>
        </w:tc>
      </w:tr>
      <w:tr>
        <w:trPr/>
        <w:tc>
          <w:tcPr>
            <w:tcW w:w="27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1,537,775</w:t>
            </w:r>
          </w:p>
        </w:tc>
        <w:tc>
          <w:tcPr>
            <w:tcW w:w="110" w:type="dxa"/>
            <w:tcBorders/>
            <w:shd w:fill="FFFFFF" w:val="clear"/>
            <w:vAlign w:val="center"/>
          </w:tcPr>
          <w:p>
            <w:pPr>
              <w:pStyle w:val="TableContents"/>
              <w:bidi w:val="0"/>
              <w:spacing w:before="0" w:after="283"/>
              <w:jc w:val="left"/>
              <w:rPr/>
            </w:pPr>
            <w:r>
              <w:rPr/>
              <w:t> </w:t>
            </w:r>
            <w:bookmarkStart w:id="718" w:name="xdx_404_eus-gaap--PropertyPlantAndEquipm"/>
            <w:bookmarkEnd w:id="718"/>
          </w:p>
        </w:tc>
      </w:tr>
      <w:tr>
        <w:trPr/>
        <w:tc>
          <w:tcPr>
            <w:tcW w:w="2705" w:type="dxa"/>
            <w:tcBorders/>
            <w:shd w:fill="CCEEFF" w:val="clear"/>
            <w:vAlign w:val="center"/>
          </w:tcPr>
          <w:p>
            <w:pPr>
              <w:pStyle w:val="TableContents"/>
              <w:bidi w:val="0"/>
              <w:spacing w:before="0" w:after="283"/>
              <w:jc w:val="left"/>
              <w:rPr/>
            </w:pPr>
            <w:r>
              <w:rPr/>
              <w:t>Autos and trucks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178,695</w:t>
            </w:r>
          </w:p>
        </w:tc>
        <w:tc>
          <w:tcPr>
            <w:tcW w:w="110" w:type="dxa"/>
            <w:tcBorders/>
            <w:shd w:fill="CCEEFF" w:val="clear"/>
            <w:vAlign w:val="center"/>
          </w:tcPr>
          <w:p>
            <w:pPr>
              <w:pStyle w:val="TableContents"/>
              <w:bidi w:val="0"/>
              <w:spacing w:before="0" w:after="283"/>
              <w:jc w:val="left"/>
              <w:rPr/>
            </w:pPr>
            <w:r>
              <w:rPr/>
              <w:t> </w:t>
            </w:r>
            <w:bookmarkStart w:id="719" w:name="xdx_408_eus-gaap--PropertyPlantAndEquipm"/>
            <w:bookmarkEnd w:id="719"/>
          </w:p>
        </w:tc>
      </w:tr>
      <w:tr>
        <w:trPr/>
        <w:tc>
          <w:tcPr>
            <w:tcW w:w="2705" w:type="dxa"/>
            <w:tcBorders/>
            <w:shd w:fill="FFFFFF" w:val="clear"/>
            <w:vAlign w:val="center"/>
          </w:tcPr>
          <w:p>
            <w:pPr>
              <w:pStyle w:val="TableContents"/>
              <w:bidi w:val="0"/>
              <w:spacing w:before="0" w:after="283"/>
              <w:jc w:val="left"/>
              <w:rPr/>
            </w:pPr>
            <w:r>
              <w:rPr/>
              <w:t>Computer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1,367,529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1,809,214</w:t>
            </w:r>
          </w:p>
        </w:tc>
        <w:tc>
          <w:tcPr>
            <w:tcW w:w="110" w:type="dxa"/>
            <w:tcBorders/>
            <w:shd w:fill="FFFFFF" w:val="clear"/>
            <w:vAlign w:val="center"/>
          </w:tcPr>
          <w:p>
            <w:pPr>
              <w:pStyle w:val="TableContents"/>
              <w:bidi w:val="0"/>
              <w:spacing w:before="0" w:after="283"/>
              <w:jc w:val="left"/>
              <w:rPr/>
            </w:pPr>
            <w:r>
              <w:rPr/>
              <w:t> </w:t>
            </w:r>
            <w:bookmarkStart w:id="720" w:name="xdx_40F_eus-gaap--PropertyPlantAndEquipm"/>
            <w:bookmarkEnd w:id="720"/>
          </w:p>
        </w:tc>
      </w:tr>
      <w:tr>
        <w:trPr/>
        <w:tc>
          <w:tcPr>
            <w:tcW w:w="27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411,801</w:t>
            </w:r>
          </w:p>
        </w:tc>
        <w:tc>
          <w:tcPr>
            <w:tcW w:w="110" w:type="dxa"/>
            <w:tcBorders/>
            <w:shd w:fill="CCEEFF" w:val="clear"/>
            <w:vAlign w:val="center"/>
          </w:tcPr>
          <w:p>
            <w:pPr>
              <w:pStyle w:val="TableContents"/>
              <w:bidi w:val="0"/>
              <w:spacing w:before="0" w:after="283"/>
              <w:jc w:val="left"/>
              <w:rPr/>
            </w:pPr>
            <w:r>
              <w:rPr/>
              <w:t> </w:t>
            </w:r>
            <w:bookmarkStart w:id="721" w:name="xdx_40B_eus-gaap--PropertyPlantAndEquipm"/>
            <w:bookmarkEnd w:id="721"/>
          </w:p>
        </w:tc>
      </w:tr>
      <w:tr>
        <w:trPr/>
        <w:tc>
          <w:tcPr>
            <w:tcW w:w="270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9,080,067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9,521,752</w:t>
            </w:r>
          </w:p>
        </w:tc>
        <w:tc>
          <w:tcPr>
            <w:tcW w:w="110" w:type="dxa"/>
            <w:tcBorders/>
            <w:shd w:fill="FFFFFF" w:val="clear"/>
            <w:vAlign w:val="center"/>
          </w:tcPr>
          <w:p>
            <w:pPr>
              <w:pStyle w:val="TableContents"/>
              <w:bidi w:val="0"/>
              <w:spacing w:before="0" w:after="283"/>
              <w:jc w:val="left"/>
              <w:rPr/>
            </w:pPr>
            <w:r>
              <w:rPr/>
              <w:t> </w:t>
            </w:r>
            <w:bookmarkStart w:id="722" w:name="xdx_40E_eus-gaap--AccumulatedDepreciatio"/>
            <w:bookmarkEnd w:id="722"/>
          </w:p>
        </w:tc>
      </w:tr>
      <w:tr>
        <w:trPr/>
        <w:tc>
          <w:tcPr>
            <w:tcW w:w="27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(4,933,892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(5,143,400</w:t>
            </w:r>
          </w:p>
        </w:tc>
        <w:tc>
          <w:tcPr>
            <w:tcW w:w="110" w:type="dxa"/>
            <w:tcBorders/>
            <w:shd w:fill="CCEEFF" w:val="clear"/>
            <w:vAlign w:val="center"/>
          </w:tcPr>
          <w:p>
            <w:pPr>
              <w:pStyle w:val="TableContents"/>
              <w:bidi w:val="0"/>
              <w:spacing w:before="0" w:after="283"/>
              <w:jc w:val="left"/>
              <w:rPr/>
            </w:pPr>
            <w:r>
              <w:rPr/>
              <w:t>)</w:t>
            </w:r>
            <w:bookmarkStart w:id="723" w:name="xdx_401_eus-gaap--PropertyPlantAndEquipm"/>
            <w:bookmarkEnd w:id="723"/>
          </w:p>
        </w:tc>
      </w:tr>
      <w:tr>
        <w:trPr/>
        <w:tc>
          <w:tcPr>
            <w:tcW w:w="270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4,146,175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4,378,352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24" w:name="xdx_8A0_zeKGvibTmJy1"/>
      <w:bookmarkEnd w:id="7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725" w:name="xdx_908_eus-gaap--DepreciationDepletionA"/>
      <w:bookmarkEnd w:id="725"/>
      <w:r>
        <w:rPr>
          <w:rFonts w:ascii="Times New Roman;Times;Serif" w:hAnsi="Times New Roman;Times;Serif"/>
          <w:b w:val="false"/>
          <w:i w:val="false"/>
          <w:caps w:val="false"/>
          <w:smallCaps w:val="false"/>
          <w:sz w:val="20"/>
        </w:rPr>
        <w:t>247,976 and $</w:t>
      </w:r>
      <w:bookmarkStart w:id="726" w:name="xdx_903_eus-gaap--DepreciationDepletionA"/>
      <w:bookmarkEnd w:id="726"/>
      <w:r>
        <w:rPr>
          <w:rFonts w:ascii="Times New Roman;Times;Serif" w:hAnsi="Times New Roman;Times;Serif"/>
          <w:b w:val="false"/>
          <w:i w:val="false"/>
          <w:caps w:val="false"/>
          <w:smallCaps w:val="false"/>
          <w:sz w:val="20"/>
        </w:rPr>
        <w:t>303,714 for the years ended December 31, 2025 and 2024, respectively. During the year ended December 31, 2025, the Company disposed of $</w:t>
      </w:r>
      <w:bookmarkStart w:id="727" w:name="xdx_903_eus-gaap--PropertyPlantAndEquipm"/>
      <w:bookmarkEnd w:id="727"/>
      <w:r>
        <w:rPr>
          <w:rFonts w:ascii="Times New Roman;Times;Serif" w:hAnsi="Times New Roman;Times;Serif"/>
          <w:b w:val="false"/>
          <w:i w:val="false"/>
          <w:caps w:val="false"/>
          <w:smallCaps w:val="false"/>
          <w:sz w:val="20"/>
        </w:rPr>
        <w:t>457,484 in computer equipment with an accumulated depreciation of $</w:t>
      </w:r>
      <w:bookmarkStart w:id="728" w:name="xdx_90D_eus-gaap--AccumulatedDepreciatio"/>
      <w:bookmarkEnd w:id="728"/>
      <w:r>
        <w:rPr>
          <w:rFonts w:ascii="Times New Roman;Times;Serif" w:hAnsi="Times New Roman;Times;Serif"/>
          <w:b w:val="false"/>
          <w:i w:val="false"/>
          <w:caps w:val="false"/>
          <w:smallCaps w:val="false"/>
          <w:sz w:val="20"/>
        </w:rPr>
        <w:t xml:space="preserve">457,484. The Company did </w:t>
      </w:r>
      <w:bookmarkStart w:id="729" w:name="xdx_90D_eus-gaap--GainLossOnDispositionO"/>
      <w:bookmarkEnd w:id="729"/>
      <w:r>
        <w:rPr>
          <w:rFonts w:ascii="Times New Roman;Times;Serif" w:hAnsi="Times New Roman;Times;Serif"/>
          <w:b w:val="false"/>
          <w:i w:val="false"/>
          <w:caps w:val="false"/>
          <w:smallCaps w:val="false"/>
          <w:sz w:val="20"/>
        </w:rPr>
        <w:t>not have any disposals in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0" w:name="xdx_803_eus-gaap--IntangibleAssetsDisclo"/>
      <w:bookmarkEnd w:id="730"/>
      <w:r>
        <w:rPr>
          <w:rFonts w:ascii="Times New Roman;Times;Serif" w:hAnsi="Times New Roman;Times;Serif"/>
          <w:b/>
          <w:i w:val="false"/>
          <w:caps w:val="false"/>
          <w:smallCaps w:val="false"/>
          <w:sz w:val="20"/>
        </w:rPr>
        <w:t xml:space="preserve">NOTE 9 – </w:t>
      </w:r>
      <w:bookmarkStart w:id="731" w:name="xdx_82F_z1nablrGu6d1"/>
      <w:bookmarkEnd w:id="731"/>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game licenses, game software underlying intellectual property rights, game trademarks and other branding items. The Company amortizes the intangible assets over its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2" w:name="xdx_891_eus-gaap--ScheduleOfFiniteLivedI"/>
      <w:bookmarkEnd w:id="732"/>
      <w:r>
        <w:rPr>
          <w:rFonts w:ascii="Times New Roman;Times;Serif" w:hAnsi="Times New Roman;Times;Serif"/>
          <w:b w:val="false"/>
          <w:i w:val="false"/>
          <w:caps w:val="false"/>
          <w:smallCaps w:val="false"/>
          <w:sz w:val="20"/>
        </w:rPr>
        <w:t>The following tables reflect all the intangible assets presented on the consolidated balance sheets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3" w:name="xdx_8B6_zuxrKSA8arB6"/>
      <w:bookmarkEnd w:id="733"/>
      <w:r>
        <w:rPr>
          <w:rFonts w:ascii="Times New Roman;Times;Serif" w:hAnsi="Times New Roman;Times;Serif"/>
          <w:b w:val="false"/>
          <w:i w:val="false"/>
          <w:caps w:val="false"/>
          <w:smallCaps w:val="false"/>
          <w:sz w:val="20"/>
        </w:rPr>
        <w:t>SCHEDULE OF INTANGIBLE ASSETS </w:t>
      </w:r>
    </w:p>
    <w:tbl>
      <w:tblPr>
        <w:tblW w:w="10205" w:type="dxa"/>
        <w:jc w:val="left"/>
        <w:tblInd w:w="0" w:type="dxa"/>
        <w:tblLayout w:type="fixed"/>
        <w:tblCellMar>
          <w:top w:w="0" w:type="dxa"/>
          <w:left w:w="0" w:type="dxa"/>
          <w:bottom w:w="0" w:type="dxa"/>
          <w:right w:w="0" w:type="dxa"/>
        </w:tblCellMar>
      </w:tblPr>
      <w:tblGrid>
        <w:gridCol w:w="3344"/>
        <w:gridCol w:w="60"/>
        <w:gridCol w:w="140"/>
        <w:gridCol w:w="1220"/>
        <w:gridCol w:w="60"/>
        <w:gridCol w:w="60"/>
        <w:gridCol w:w="140"/>
        <w:gridCol w:w="1295"/>
        <w:gridCol w:w="95"/>
        <w:gridCol w:w="60"/>
        <w:gridCol w:w="170"/>
        <w:gridCol w:w="1065"/>
        <w:gridCol w:w="95"/>
        <w:gridCol w:w="60"/>
        <w:gridCol w:w="140"/>
        <w:gridCol w:w="980"/>
        <w:gridCol w:w="60"/>
        <w:gridCol w:w="60"/>
        <w:gridCol w:w="1101"/>
      </w:tblGrid>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b/>
              </w:rPr>
            </w:pPr>
            <w:r>
              <w:rPr>
                <w:b/>
              </w:rPr>
              <w:t>Weighted</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center"/>
              <w:rPr>
                <w:b/>
              </w:rPr>
            </w:pPr>
            <w:r>
              <w:rPr>
                <w:b/>
              </w:rPr>
              <w:t>Average</w:t>
            </w:r>
          </w:p>
        </w:tc>
      </w:tr>
      <w:tr>
        <w:trPr/>
        <w:tc>
          <w:tcPr>
            <w:tcW w:w="33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344"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4" w:name="xdx_989_eus-gaap--FiniteLivedIntangibleA"/>
            <w:bookmarkEnd w:id="734"/>
          </w:p>
        </w:tc>
        <w:tc>
          <w:tcPr>
            <w:tcW w:w="1220" w:type="dxa"/>
            <w:tcBorders/>
            <w:shd w:fill="CCEEFF" w:val="clear"/>
            <w:vAlign w:val="center"/>
          </w:tcPr>
          <w:p>
            <w:pPr>
              <w:pStyle w:val="TableContents"/>
              <w:bidi w:val="0"/>
              <w:spacing w:before="0" w:after="283"/>
              <w:jc w:val="right"/>
              <w:rPr/>
            </w:pPr>
            <w:r>
              <w:rPr/>
              <w:t>141,665,000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5" w:name="xdx_985_eus-gaap--FiniteLivedIntangibleA"/>
            <w:bookmarkEnd w:id="735"/>
          </w:p>
        </w:tc>
        <w:tc>
          <w:tcPr>
            <w:tcW w:w="1295" w:type="dxa"/>
            <w:tcBorders/>
            <w:shd w:fill="CCEEFF" w:val="clear"/>
            <w:vAlign w:val="center"/>
          </w:tcPr>
          <w:p>
            <w:pPr>
              <w:pStyle w:val="TableContents"/>
              <w:bidi w:val="0"/>
              <w:spacing w:before="0" w:after="283"/>
              <w:jc w:val="right"/>
              <w:rPr/>
            </w:pPr>
            <w:r>
              <w:rPr/>
              <w:t>(136,748,333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bookmarkStart w:id="736" w:name="xdx_988_ecustom--FiniteLivedIntangibleAs"/>
            <w:bookmarkEnd w:id="736"/>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7" w:name="xdx_982_eus-gaap--FiniteLivedIntangibleA"/>
            <w:bookmarkEnd w:id="737"/>
          </w:p>
        </w:tc>
        <w:tc>
          <w:tcPr>
            <w:tcW w:w="980" w:type="dxa"/>
            <w:tcBorders/>
            <w:shd w:fill="CCEEFF" w:val="clear"/>
            <w:vAlign w:val="center"/>
          </w:tcPr>
          <w:p>
            <w:pPr>
              <w:pStyle w:val="TableContents"/>
              <w:bidi w:val="0"/>
              <w:spacing w:before="0" w:after="283"/>
              <w:jc w:val="right"/>
              <w:rPr/>
            </w:pPr>
            <w:r>
              <w:rPr/>
              <w:t>4,916,667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bookmarkStart w:id="738" w:name="xdx_90D_eus-gaap--AcquiredFiniteLivedInt"/>
            <w:bookmarkEnd w:id="738"/>
            <w:r>
              <w:rPr/>
              <w:t>3 - </w:t>
            </w:r>
            <w:bookmarkStart w:id="739" w:name="xdx_90D_eus-gaap--AcquiredFiniteLivedInt"/>
            <w:bookmarkEnd w:id="739"/>
            <w:r>
              <w:rPr/>
              <w:t>5 years</w:t>
            </w:r>
          </w:p>
        </w:tc>
      </w:tr>
      <w:tr>
        <w:trPr/>
        <w:tc>
          <w:tcPr>
            <w:tcW w:w="3344"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0" w:name="xdx_982_eus-gaap--FiniteLivedIntangibleA"/>
            <w:bookmarkEnd w:id="740"/>
          </w:p>
        </w:tc>
        <w:tc>
          <w:tcPr>
            <w:tcW w:w="1220" w:type="dxa"/>
            <w:tcBorders/>
            <w:shd w:fill="FFFFFF" w:val="clear"/>
            <w:vAlign w:val="center"/>
          </w:tcPr>
          <w:p>
            <w:pPr>
              <w:pStyle w:val="TableContents"/>
              <w:bidi w:val="0"/>
              <w:spacing w:before="0" w:after="283"/>
              <w:jc w:val="right"/>
              <w:rPr/>
            </w:pPr>
            <w:r>
              <w:rPr/>
              <w:t>6,217,896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1" w:name="xdx_985_eus-gaap--FiniteLivedIntangibleA"/>
            <w:bookmarkEnd w:id="741"/>
          </w:p>
        </w:tc>
        <w:tc>
          <w:tcPr>
            <w:tcW w:w="1295" w:type="dxa"/>
            <w:tcBorders/>
            <w:shd w:fill="FFFFFF" w:val="clear"/>
            <w:vAlign w:val="center"/>
          </w:tcPr>
          <w:p>
            <w:pPr>
              <w:pStyle w:val="TableContents"/>
              <w:bidi w:val="0"/>
              <w:spacing w:before="0" w:after="283"/>
              <w:jc w:val="right"/>
              <w:rPr/>
            </w:pPr>
            <w:r>
              <w:rPr/>
              <w:t>(3,162,645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742" w:name="xdx_98A_ecustom--FiniteLivedIntangibleAs"/>
            <w:bookmarkEnd w:id="742"/>
          </w:p>
        </w:tc>
        <w:tc>
          <w:tcPr>
            <w:tcW w:w="1065" w:type="dxa"/>
            <w:tcBorders/>
            <w:shd w:fill="FFFFFF" w:val="clear"/>
            <w:vAlign w:val="center"/>
          </w:tcPr>
          <w:p>
            <w:pPr>
              <w:pStyle w:val="TableContents"/>
              <w:bidi w:val="0"/>
              <w:spacing w:before="0" w:after="283"/>
              <w:jc w:val="right"/>
              <w:rPr/>
            </w:pPr>
            <w:r>
              <w:rPr/>
              <w:t>(451,447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3" w:name="xdx_981_eus-gaap--FiniteLivedIntangibleA"/>
            <w:bookmarkEnd w:id="743"/>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2,603,804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bookmarkStart w:id="744" w:name="xdx_902_eus-gaap--AcquiredFiniteLivedInt"/>
            <w:bookmarkEnd w:id="744"/>
            <w:r>
              <w:rPr/>
              <w:t>5 years</w:t>
            </w:r>
          </w:p>
        </w:tc>
      </w:tr>
      <w:tr>
        <w:trPr/>
        <w:tc>
          <w:tcPr>
            <w:tcW w:w="3344"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45" w:name="xdx_98D_eus-gaap--FiniteLivedIntangibleA"/>
            <w:bookmarkEnd w:id="745"/>
          </w:p>
        </w:tc>
        <w:tc>
          <w:tcPr>
            <w:tcW w:w="1220" w:type="dxa"/>
            <w:tcBorders/>
            <w:shd w:fill="CCEEFF" w:val="clear"/>
            <w:vAlign w:val="center"/>
          </w:tcPr>
          <w:p>
            <w:pPr>
              <w:pStyle w:val="TableContents"/>
              <w:bidi w:val="0"/>
              <w:spacing w:before="0" w:after="283"/>
              <w:jc w:val="right"/>
              <w:rPr/>
            </w:pPr>
            <w:r>
              <w:rPr/>
              <w:t>1,376,490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46" w:name="xdx_988_eus-gaap--FiniteLivedIntangibleA"/>
            <w:bookmarkEnd w:id="746"/>
          </w:p>
        </w:tc>
        <w:tc>
          <w:tcPr>
            <w:tcW w:w="1295" w:type="dxa"/>
            <w:tcBorders/>
            <w:shd w:fill="CCEEFF" w:val="clear"/>
            <w:vAlign w:val="center"/>
          </w:tcPr>
          <w:p>
            <w:pPr>
              <w:pStyle w:val="TableContents"/>
              <w:bidi w:val="0"/>
              <w:spacing w:before="0" w:after="283"/>
              <w:jc w:val="right"/>
              <w:rPr/>
            </w:pPr>
            <w:r>
              <w:rPr/>
              <w:t>(207,240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bookmarkStart w:id="747" w:name="xdx_98D_ecustom--FiniteLivedIntangibleAs"/>
            <w:bookmarkEnd w:id="747"/>
          </w:p>
        </w:tc>
        <w:tc>
          <w:tcPr>
            <w:tcW w:w="1065" w:type="dxa"/>
            <w:tcBorders/>
            <w:shd w:fill="CCEEFF" w:val="clear"/>
            <w:vAlign w:val="center"/>
          </w:tcPr>
          <w:p>
            <w:pPr>
              <w:pStyle w:val="TableContents"/>
              <w:bidi w:val="0"/>
              <w:spacing w:before="0" w:after="283"/>
              <w:jc w:val="right"/>
              <w:rPr/>
            </w:pPr>
            <w:r>
              <w:rPr/>
              <w:t>(216,013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48" w:name="xdx_981_eus-gaap--FiniteLivedIntangibleA"/>
            <w:bookmarkEnd w:id="748"/>
          </w:p>
        </w:tc>
        <w:tc>
          <w:tcPr>
            <w:tcW w:w="980" w:type="dxa"/>
            <w:tcBorders/>
            <w:shd w:fill="CCEEFF" w:val="clear"/>
            <w:vAlign w:val="center"/>
          </w:tcPr>
          <w:p>
            <w:pPr>
              <w:pStyle w:val="TableContents"/>
              <w:bidi w:val="0"/>
              <w:spacing w:before="0" w:after="283"/>
              <w:jc w:val="right"/>
              <w:rPr/>
            </w:pPr>
            <w:r>
              <w:rPr/>
              <w:t>953,237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bookmarkStart w:id="749" w:name="xdx_905_eus-gaap--AcquiredFiniteLivedInt"/>
            <w:bookmarkEnd w:id="749"/>
            <w:r>
              <w:rPr/>
              <w:t xml:space="preserve">3 - </w:t>
            </w:r>
            <w:bookmarkStart w:id="750" w:name="xdx_902_eus-gaap--AcquiredFiniteLivedInt"/>
            <w:bookmarkEnd w:id="750"/>
            <w:r>
              <w:rPr/>
              <w:t>5 years</w:t>
            </w:r>
          </w:p>
        </w:tc>
      </w:tr>
      <w:tr>
        <w:trPr/>
        <w:tc>
          <w:tcPr>
            <w:tcW w:w="3344"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1" w:name="xdx_987_eus-gaap--FiniteLivedIntangibleA"/>
            <w:bookmarkEnd w:id="751"/>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2" w:name="xdx_988_eus-gaap--FiniteLivedIntangibleA"/>
            <w:bookmarkEnd w:id="752"/>
          </w:p>
        </w:tc>
        <w:tc>
          <w:tcPr>
            <w:tcW w:w="1295" w:type="dxa"/>
            <w:tcBorders/>
            <w:shd w:fill="FFFFFF" w:val="clear"/>
            <w:vAlign w:val="center"/>
          </w:tcPr>
          <w:p>
            <w:pPr>
              <w:pStyle w:val="TableContents"/>
              <w:bidi w:val="0"/>
              <w:spacing w:before="0" w:after="283"/>
              <w:jc w:val="right"/>
              <w:rPr/>
            </w:pPr>
            <w:r>
              <w:rPr/>
              <w:t>(10,745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753" w:name="xdx_984_ecustom--FiniteLivedIntangibleAs"/>
            <w:bookmarkEnd w:id="753"/>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4" w:name="xdx_98F_eus-gaap--FiniteLivedIntangibleA"/>
            <w:bookmarkEnd w:id="754"/>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bookmarkStart w:id="755" w:name="xdx_904_eus-gaap--AcquiredFiniteLivedInt"/>
            <w:bookmarkEnd w:id="755"/>
            <w:r>
              <w:rPr/>
              <w:t>12 years</w:t>
            </w:r>
          </w:p>
        </w:tc>
      </w:tr>
      <w:tr>
        <w:trPr/>
        <w:tc>
          <w:tcPr>
            <w:tcW w:w="3344"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6" w:name="xdx_984_eus-gaap--FiniteLivedIntangibleA"/>
            <w:bookmarkEnd w:id="756"/>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7" w:name="xdx_983_eus-gaap--FiniteLivedIntangibleA"/>
            <w:bookmarkEnd w:id="757"/>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8" w:name="xdx_98E_ecustom--FiniteLivedIntangibleAs"/>
            <w:bookmarkEnd w:id="758"/>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9" w:name="xdx_985_eus-gaap--FiniteLivedIntangibleA"/>
            <w:bookmarkEnd w:id="75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0" w:name="xdx_980_eus-gaap--FiniteLivedIntangibleA"/>
            <w:bookmarkEnd w:id="760"/>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149,541,017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1" w:name="xdx_98D_eus-gaap--FiniteLivedIntangibleA"/>
            <w:bookmarkEnd w:id="761"/>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(140,128,963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2" w:name="xdx_98F_ecustom--FiniteLivedIntangibleAs"/>
            <w:bookmarkEnd w:id="762"/>
          </w:p>
        </w:tc>
        <w:tc>
          <w:tcPr>
            <w:tcW w:w="1065" w:type="dxa"/>
            <w:tcBorders>
              <w:bottom w:val="double" w:sz="6" w:space="0" w:color="000000"/>
            </w:tcBorders>
            <w:shd w:fill="FFFFFF" w:val="clear"/>
            <w:tcMar>
              <w:bottom w:w="28" w:type="dxa"/>
            </w:tcMar>
            <w:vAlign w:val="center"/>
          </w:tcPr>
          <w:p>
            <w:pPr>
              <w:pStyle w:val="TableContents"/>
              <w:bidi w:val="0"/>
              <w:spacing w:before="0" w:after="283"/>
              <w:jc w:val="right"/>
              <w:rPr/>
            </w:pPr>
            <w:r>
              <w:rPr/>
              <w:t>(667,460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3" w:name="xdx_98E_eus-gaap--FiniteLivedIntangibleA"/>
            <w:bookmarkEnd w:id="76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8,744,594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Consolidated Financial Statements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4"/>
        <w:gridCol w:w="60"/>
        <w:gridCol w:w="140"/>
        <w:gridCol w:w="1220"/>
        <w:gridCol w:w="60"/>
        <w:gridCol w:w="60"/>
        <w:gridCol w:w="140"/>
        <w:gridCol w:w="1295"/>
        <w:gridCol w:w="95"/>
        <w:gridCol w:w="60"/>
        <w:gridCol w:w="432"/>
        <w:gridCol w:w="803"/>
        <w:gridCol w:w="60"/>
        <w:gridCol w:w="60"/>
        <w:gridCol w:w="143"/>
        <w:gridCol w:w="824"/>
        <w:gridCol w:w="60"/>
        <w:gridCol w:w="60"/>
        <w:gridCol w:w="1109"/>
      </w:tblGrid>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9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center"/>
              <w:rPr>
                <w:b/>
              </w:rPr>
            </w:pPr>
            <w:r>
              <w:rPr>
                <w:b/>
              </w:rPr>
              <w:t>Weighted</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Impairment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center"/>
              <w:rPr>
                <w:b/>
              </w:rPr>
            </w:pPr>
            <w:r>
              <w:rPr>
                <w:b/>
              </w:rPr>
              <w:t>Net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center"/>
              <w:rPr>
                <w:b/>
              </w:rPr>
            </w:pPr>
            <w:r>
              <w:rPr>
                <w:b/>
              </w:rPr>
              <w:t>Average</w:t>
            </w:r>
          </w:p>
        </w:tc>
      </w:tr>
      <w:tr>
        <w:trPr/>
        <w:tc>
          <w:tcPr>
            <w:tcW w:w="35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tcBorders>
              <w:bottom w:val="single" w:sz="8" w:space="0" w:color="000000"/>
            </w:tcBorders>
            <w:tcMar>
              <w:bottom w:w="28" w:type="dxa"/>
            </w:tcMar>
            <w:vAlign w:val="center"/>
          </w:tcPr>
          <w:p>
            <w:pPr>
              <w:pStyle w:val="TableContents"/>
              <w:bidi w:val="0"/>
              <w:spacing w:before="0" w:after="283"/>
              <w:jc w:val="center"/>
              <w:rPr>
                <w:b/>
              </w:rPr>
            </w:pPr>
            <w:r>
              <w:rPr>
                <w:b/>
              </w:rPr>
              <w:t>Useful Life</w:t>
            </w:r>
          </w:p>
        </w:tc>
      </w:tr>
      <w:tr>
        <w:trPr/>
        <w:tc>
          <w:tcPr>
            <w:tcW w:w="3524" w:type="dxa"/>
            <w:tcBorders/>
            <w:shd w:fill="CCEEFF" w:val="clear"/>
            <w:vAlign w:val="center"/>
          </w:tcPr>
          <w:p>
            <w:pPr>
              <w:pStyle w:val="TableContents"/>
              <w:bidi w:val="0"/>
              <w:spacing w:before="0" w:after="283"/>
              <w:jc w:val="left"/>
              <w:rPr/>
            </w:pPr>
            <w:r>
              <w:rPr/>
              <w:t>Software and license rights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4" w:name="xdx_98A_eus-gaap--FiniteLivedIntangibleA"/>
            <w:bookmarkEnd w:id="764"/>
          </w:p>
        </w:tc>
        <w:tc>
          <w:tcPr>
            <w:tcW w:w="1220" w:type="dxa"/>
            <w:tcBorders/>
            <w:shd w:fill="CCEEFF" w:val="clear"/>
            <w:vAlign w:val="center"/>
          </w:tcPr>
          <w:p>
            <w:pPr>
              <w:pStyle w:val="TableContents"/>
              <w:bidi w:val="0"/>
              <w:spacing w:before="0" w:after="283"/>
              <w:jc w:val="right"/>
              <w:rPr/>
            </w:pPr>
            <w:r>
              <w:rPr/>
              <w:t>136,955,000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5" w:name="xdx_980_eus-gaap--FiniteLivedIntangibleA"/>
            <w:bookmarkEnd w:id="765"/>
          </w:p>
        </w:tc>
        <w:tc>
          <w:tcPr>
            <w:tcW w:w="1295" w:type="dxa"/>
            <w:tcBorders/>
            <w:shd w:fill="CCEEFF" w:val="clear"/>
            <w:vAlign w:val="center"/>
          </w:tcPr>
          <w:p>
            <w:pPr>
              <w:pStyle w:val="TableContents"/>
              <w:bidi w:val="0"/>
              <w:spacing w:before="0" w:after="283"/>
              <w:jc w:val="right"/>
              <w:rPr/>
            </w:pPr>
            <w:r>
              <w:rPr/>
              <w:t>(136,665,000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bookmarkStart w:id="766" w:name="xdx_980_ecustom--FiniteLivedIntangibleAs"/>
            <w:bookmarkEnd w:id="766"/>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767" w:name="xdx_98D_eus-gaap--FiniteLivedIntangibleA"/>
            <w:bookmarkEnd w:id="767"/>
          </w:p>
        </w:tc>
        <w:tc>
          <w:tcPr>
            <w:tcW w:w="824" w:type="dxa"/>
            <w:tcBorders/>
            <w:shd w:fill="CCEEFF" w:val="clear"/>
            <w:vAlign w:val="center"/>
          </w:tcPr>
          <w:p>
            <w:pPr>
              <w:pStyle w:val="TableContents"/>
              <w:bidi w:val="0"/>
              <w:spacing w:before="0" w:after="283"/>
              <w:jc w:val="right"/>
              <w:rPr/>
            </w:pPr>
            <w:r>
              <w:rPr/>
              <w:t>290,000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bookmarkStart w:id="768" w:name="xdx_90A_eus-gaap--AcquiredFiniteLivedInt"/>
            <w:bookmarkEnd w:id="768"/>
            <w:r>
              <w:rPr/>
              <w:t>3 - </w:t>
            </w:r>
            <w:bookmarkStart w:id="769" w:name="xdx_90A_eus-gaap--AcquiredFiniteLivedInt"/>
            <w:bookmarkEnd w:id="769"/>
            <w:r>
              <w:rPr/>
              <w:t>5 years</w:t>
            </w:r>
          </w:p>
        </w:tc>
      </w:tr>
      <w:tr>
        <w:trPr/>
        <w:tc>
          <w:tcPr>
            <w:tcW w:w="3524" w:type="dxa"/>
            <w:tcBorders/>
            <w:shd w:fill="FFFFFF" w:val="clear"/>
            <w:vAlign w:val="center"/>
          </w:tcPr>
          <w:p>
            <w:pPr>
              <w:pStyle w:val="TableContents"/>
              <w:bidi w:val="0"/>
              <w:spacing w:before="0" w:after="283"/>
              <w:jc w:val="left"/>
              <w:rPr/>
            </w:pPr>
            <w:r>
              <w:rPr/>
              <w:t>License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0" w:name="xdx_98F_eus-gaap--FiniteLivedIntangibleA"/>
            <w:bookmarkEnd w:id="770"/>
          </w:p>
        </w:tc>
        <w:tc>
          <w:tcPr>
            <w:tcW w:w="1220" w:type="dxa"/>
            <w:tcBorders/>
            <w:shd w:fill="FFFFFF" w:val="clear"/>
            <w:vAlign w:val="center"/>
          </w:tcPr>
          <w:p>
            <w:pPr>
              <w:pStyle w:val="TableContents"/>
              <w:bidi w:val="0"/>
              <w:spacing w:before="0" w:after="283"/>
              <w:jc w:val="right"/>
              <w:rPr/>
            </w:pPr>
            <w:r>
              <w:rPr/>
              <w:t>3,420,000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71" w:name="xdx_98A_eus-gaap--FiniteLivedIntangibleA"/>
            <w:bookmarkEnd w:id="771"/>
          </w:p>
        </w:tc>
        <w:tc>
          <w:tcPr>
            <w:tcW w:w="1295" w:type="dxa"/>
            <w:tcBorders/>
            <w:shd w:fill="FFFFFF" w:val="clear"/>
            <w:vAlign w:val="center"/>
          </w:tcPr>
          <w:p>
            <w:pPr>
              <w:pStyle w:val="TableContents"/>
              <w:bidi w:val="0"/>
              <w:spacing w:before="0" w:after="283"/>
              <w:jc w:val="right"/>
              <w:rPr/>
            </w:pPr>
            <w:r>
              <w:rPr/>
              <w:t>(3,007,000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72" w:name="xdx_984_ecustom--FiniteLivedIntangibleAs"/>
            <w:bookmarkEnd w:id="772"/>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773" w:name="xdx_98A_eus-gaap--FiniteLivedIntangibleA"/>
            <w:bookmarkEnd w:id="773"/>
          </w:p>
        </w:tc>
        <w:tc>
          <w:tcPr>
            <w:tcW w:w="824" w:type="dxa"/>
            <w:tcBorders/>
            <w:shd w:fill="FFFFFF" w:val="clear"/>
            <w:vAlign w:val="center"/>
          </w:tcPr>
          <w:p>
            <w:pPr>
              <w:pStyle w:val="TableContents"/>
              <w:bidi w:val="0"/>
              <w:spacing w:before="0" w:after="283"/>
              <w:jc w:val="right"/>
              <w:rPr/>
            </w:pPr>
            <w:r>
              <w:rPr/>
              <w:t>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bookmarkStart w:id="774" w:name="xdx_900_eus-gaap--AcquiredFiniteLivedInt"/>
            <w:bookmarkEnd w:id="774"/>
            <w:r>
              <w:rPr/>
              <w:t>5 years</w:t>
            </w:r>
          </w:p>
        </w:tc>
      </w:tr>
      <w:tr>
        <w:trPr/>
        <w:tc>
          <w:tcPr>
            <w:tcW w:w="3524"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5" w:name="xdx_989_eus-gaap--FiniteLivedIntangibleA"/>
            <w:bookmarkEnd w:id="775"/>
          </w:p>
        </w:tc>
        <w:tc>
          <w:tcPr>
            <w:tcW w:w="1220" w:type="dxa"/>
            <w:tcBorders/>
            <w:shd w:fill="CCEEFF" w:val="clear"/>
            <w:vAlign w:val="center"/>
          </w:tcPr>
          <w:p>
            <w:pPr>
              <w:pStyle w:val="TableContents"/>
              <w:bidi w:val="0"/>
              <w:spacing w:before="0" w:after="283"/>
              <w:jc w:val="right"/>
              <w:rPr/>
            </w:pPr>
            <w:r>
              <w:rPr/>
              <w:t>51,784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6" w:name="xdx_982_eus-gaap--FiniteLivedIntangibleA"/>
            <w:bookmarkEnd w:id="776"/>
          </w:p>
        </w:tc>
        <w:tc>
          <w:tcPr>
            <w:tcW w:w="1295" w:type="dxa"/>
            <w:tcBorders/>
            <w:shd w:fill="CCEEFF" w:val="clear"/>
            <w:vAlign w:val="center"/>
          </w:tcPr>
          <w:p>
            <w:pPr>
              <w:pStyle w:val="TableContents"/>
              <w:bidi w:val="0"/>
              <w:spacing w:before="0" w:after="283"/>
              <w:jc w:val="right"/>
              <w:rPr/>
            </w:pPr>
            <w:r>
              <w:rPr/>
              <w:t>(51,784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bookmarkStart w:id="777" w:name="xdx_98B_ecustom--FiniteLivedIntangibleAs"/>
            <w:bookmarkEnd w:id="777"/>
          </w:p>
        </w:tc>
        <w:tc>
          <w:tcPr>
            <w:tcW w:w="8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bookmarkStart w:id="778" w:name="xdx_98A_eus-gaap--FiniteLivedIntangibleA"/>
            <w:bookmarkEnd w:id="778"/>
          </w:p>
        </w:tc>
        <w:tc>
          <w:tcPr>
            <w:tcW w:w="8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bookmarkStart w:id="779" w:name="xdx_90A_eus-gaap--AcquiredFiniteLivedInt"/>
            <w:bookmarkEnd w:id="779"/>
            <w:r>
              <w:rPr/>
              <w:t xml:space="preserve">3 - </w:t>
            </w:r>
            <w:bookmarkStart w:id="780" w:name="xdx_90B_eus-gaap--AcquiredFiniteLivedInt"/>
            <w:bookmarkEnd w:id="780"/>
            <w:r>
              <w:rPr/>
              <w:t>5 years</w:t>
            </w:r>
          </w:p>
        </w:tc>
      </w:tr>
      <w:tr>
        <w:trPr/>
        <w:tc>
          <w:tcPr>
            <w:tcW w:w="3524" w:type="dxa"/>
            <w:tcBorders/>
            <w:shd w:fill="FFFFFF" w:val="clear"/>
            <w:vAlign w:val="center"/>
          </w:tcPr>
          <w:p>
            <w:pPr>
              <w:pStyle w:val="TableContents"/>
              <w:bidi w:val="0"/>
              <w:spacing w:before="0" w:after="283"/>
              <w:jc w:val="left"/>
              <w:rPr/>
            </w:pPr>
            <w:r>
              <w:rPr/>
              <w:t>Trademark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1" w:name="xdx_981_eus-gaap--FiniteLivedIntangibleA"/>
            <w:bookmarkEnd w:id="781"/>
          </w:p>
        </w:tc>
        <w:tc>
          <w:tcPr>
            <w:tcW w:w="1220" w:type="dxa"/>
            <w:tcBorders/>
            <w:shd w:fill="FFFFFF" w:val="clear"/>
            <w:vAlign w:val="center"/>
          </w:tcPr>
          <w:p>
            <w:pPr>
              <w:pStyle w:val="TableContents"/>
              <w:bidi w:val="0"/>
              <w:spacing w:before="0" w:after="283"/>
              <w:jc w:val="right"/>
              <w:rPr/>
            </w:pPr>
            <w:r>
              <w:rPr/>
              <w:t>10,745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2" w:name="xdx_988_eus-gaap--FiniteLivedIntangibleA"/>
            <w:bookmarkEnd w:id="782"/>
          </w:p>
        </w:tc>
        <w:tc>
          <w:tcPr>
            <w:tcW w:w="1295" w:type="dxa"/>
            <w:tcBorders/>
            <w:shd w:fill="FFFFFF" w:val="clear"/>
            <w:vAlign w:val="center"/>
          </w:tcPr>
          <w:p>
            <w:pPr>
              <w:pStyle w:val="TableContents"/>
              <w:bidi w:val="0"/>
              <w:spacing w:before="0" w:after="283"/>
              <w:jc w:val="right"/>
              <w:rPr/>
            </w:pPr>
            <w:r>
              <w:rPr/>
              <w:t>(10,717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bookmarkStart w:id="783" w:name="xdx_98B_ecustom--FiniteLivedIntangibleAs"/>
            <w:bookmarkEnd w:id="783"/>
          </w:p>
        </w:tc>
        <w:tc>
          <w:tcPr>
            <w:tcW w:w="8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784" w:name="xdx_984_eus-gaap--FiniteLivedIntangibleA"/>
            <w:bookmarkEnd w:id="784"/>
          </w:p>
        </w:tc>
        <w:tc>
          <w:tcPr>
            <w:tcW w:w="824"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bookmarkStart w:id="785" w:name="xdx_905_eus-gaap--AcquiredFiniteLivedInt"/>
            <w:bookmarkEnd w:id="785"/>
            <w:r>
              <w:rPr/>
              <w:t>12 years</w:t>
            </w:r>
          </w:p>
        </w:tc>
      </w:tr>
      <w:tr>
        <w:trPr/>
        <w:tc>
          <w:tcPr>
            <w:tcW w:w="3524" w:type="dxa"/>
            <w:tcBorders/>
            <w:shd w:fill="CCEEFF" w:val="clear"/>
            <w:vAlign w:val="center"/>
          </w:tcPr>
          <w:p>
            <w:pPr>
              <w:pStyle w:val="TableContents"/>
              <w:bidi w:val="0"/>
              <w:spacing w:before="0" w:after="283"/>
              <w:jc w:val="left"/>
              <w:rPr/>
            </w:pPr>
            <w:r>
              <w:rPr/>
              <w:t>In-progress patent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6" w:name="xdx_988_eus-gaap--FiniteLivedIntangibleA"/>
            <w:bookmarkEnd w:id="786"/>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7" w:name="xdx_983_eus-gaap--FiniteLivedIntangibleA"/>
            <w:bookmarkEnd w:id="787"/>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8" w:name="xdx_98A_ecustom--FiniteLivedIntangibleAs"/>
            <w:bookmarkEnd w:id="788"/>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9" w:name="xdx_98D_eus-gaap--FiniteLivedIntangibleA"/>
            <w:bookmarkEnd w:id="789"/>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270,886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90" w:name="xdx_987_eus-gaap--FiniteLivedIntangibleA"/>
            <w:bookmarkEnd w:id="790"/>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140,708,415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91" w:name="xdx_98B_eus-gaap--FiniteLivedIntangibleA"/>
            <w:bookmarkEnd w:id="791"/>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(139,734,501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92" w:name="xdx_985_ecustom--FiniteLivedIntangibleAs"/>
            <w:bookmarkEnd w:id="792"/>
          </w:p>
        </w:tc>
        <w:tc>
          <w:tcPr>
            <w:tcW w:w="8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93" w:name="xdx_980_eus-gaap--FiniteLivedIntangibleA"/>
            <w:bookmarkEnd w:id="793"/>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pPr>
            <w:r>
              <w:rPr/>
              <w:t>973,914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794" w:name="xdx_8A2_zbpnoKIBAcl8"/>
      <w:bookmarkEnd w:id="7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795" w:name="xdx_900_eus-gaap--AdjustmentForAmortizat"/>
      <w:bookmarkEnd w:id="795"/>
      <w:r>
        <w:rPr>
          <w:rFonts w:ascii="Times New Roman;Times;Serif" w:hAnsi="Times New Roman;Times;Serif"/>
          <w:b w:val="false"/>
          <w:i w:val="false"/>
          <w:caps w:val="false"/>
          <w:smallCaps w:val="false"/>
          <w:sz w:val="20"/>
        </w:rPr>
        <w:t>394,462 and $</w:t>
      </w:r>
      <w:bookmarkStart w:id="796" w:name="xdx_907_eus-gaap--AdjustmentForAmortizat"/>
      <w:bookmarkEnd w:id="796"/>
      <w:r>
        <w:rPr>
          <w:rFonts w:ascii="Times New Roman;Times;Serif" w:hAnsi="Times New Roman;Times;Serif"/>
          <w:b w:val="false"/>
          <w:i w:val="false"/>
          <w:caps w:val="false"/>
          <w:smallCaps w:val="false"/>
          <w:sz w:val="20"/>
        </w:rPr>
        <w:t xml:space="preserve">7,804 for the years ended December 31, 2025 and 2024, respectively. These amounts are included in cost of revenues in the accompanying consolidated statements of operations and comprehensive income (loss). The weighted average remaining useful life for which amortization expense will be recognized is </w:t>
      </w:r>
      <w:bookmarkStart w:id="797" w:name="xdx_900_eus-gaap--FiniteLivedIntangibleA"/>
      <w:bookmarkEnd w:id="797"/>
      <w:r>
        <w:rPr>
          <w:rFonts w:ascii="Times New Roman;Times;Serif" w:hAnsi="Times New Roman;Times;Serif"/>
          <w:b w:val="false"/>
          <w:i w:val="false"/>
          <w:caps w:val="false"/>
          <w:smallCaps w:val="false"/>
          <w:sz w:val="20"/>
        </w:rPr>
        <w:t>3.2 years as of December 31, 2025. Future amortization expense of intangible assets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8" w:name="xdx_8BF_z1E8lLHU8319"/>
      <w:bookmarkStart w:id="799" w:name="xdx_893_eus-gaap--FiniteLivedIntangibleA"/>
      <w:bookmarkEnd w:id="798"/>
      <w:bookmarkEnd w:id="799"/>
      <w:r>
        <w:rPr>
          <w:rFonts w:ascii="Times New Roman;Times;Serif" w:hAnsi="Times New Roman;Times;Serif"/>
          <w:b w:val="false"/>
          <w:i w:val="false"/>
          <w:caps w:val="false"/>
          <w:smallCaps w:val="false"/>
          <w:sz w:val="20"/>
        </w:rPr>
        <w:t>SCHEDULE OF FUTURE AMORTIZATION EXPENSE OF INTANGIBLE ASSETS </w:t>
      </w:r>
    </w:p>
    <w:tbl>
      <w:tblPr>
        <w:tblW w:w="4095" w:type="dxa"/>
        <w:jc w:val="left"/>
        <w:tblInd w:w="0" w:type="dxa"/>
        <w:tblLayout w:type="fixed"/>
        <w:tblCellMar>
          <w:top w:w="0" w:type="dxa"/>
          <w:left w:w="0" w:type="dxa"/>
          <w:bottom w:w="28" w:type="dxa"/>
          <w:right w:w="0" w:type="dxa"/>
        </w:tblCellMar>
      </w:tblPr>
      <w:tblGrid>
        <w:gridCol w:w="284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800" w:name="xdx_495_20251231_z0KhwKRZvG0b"/>
            <w:bookmarkEnd w:id="800"/>
          </w:p>
        </w:tc>
        <w:tc>
          <w:tcPr>
            <w:tcW w:w="112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801" w:name="xdx_40C_eus-gaap--FiniteLivedIntangibleA"/>
            <w:bookmarkEnd w:id="801"/>
          </w:p>
        </w:tc>
      </w:tr>
      <w:tr>
        <w:trPr/>
        <w:tc>
          <w:tcPr>
            <w:tcW w:w="2840" w:type="dxa"/>
            <w:tcBorders/>
            <w:shd w:fill="CCEEFF" w:val="clear"/>
            <w:tcMar>
              <w:bottom w:w="0" w:type="dxa"/>
            </w:tcMar>
            <w:vAlign w:val="center"/>
          </w:tcPr>
          <w:p>
            <w:pPr>
              <w:pStyle w:val="TableContents"/>
              <w:bidi w:val="0"/>
              <w:spacing w:before="0" w:after="283"/>
              <w:jc w:val="both"/>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1,601,769</w:t>
            </w:r>
          </w:p>
        </w:tc>
        <w:tc>
          <w:tcPr>
            <w:tcW w:w="75" w:type="dxa"/>
            <w:tcBorders/>
            <w:shd w:fill="CCEEFF" w:val="clear"/>
            <w:tcMar>
              <w:bottom w:w="0" w:type="dxa"/>
            </w:tcMar>
            <w:vAlign w:val="center"/>
          </w:tcPr>
          <w:p>
            <w:pPr>
              <w:pStyle w:val="TableContents"/>
              <w:bidi w:val="0"/>
              <w:spacing w:before="0" w:after="283"/>
              <w:jc w:val="left"/>
              <w:rPr/>
            </w:pPr>
            <w:r>
              <w:rPr/>
              <w:t> </w:t>
            </w:r>
            <w:bookmarkStart w:id="802" w:name="xdx_40B_eus-gaap--FiniteLivedIntangibleA"/>
            <w:bookmarkEnd w:id="802"/>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1,601,769</w:t>
            </w:r>
          </w:p>
        </w:tc>
        <w:tc>
          <w:tcPr>
            <w:tcW w:w="75" w:type="dxa"/>
            <w:tcBorders/>
            <w:shd w:fill="FFFFFF" w:val="clear"/>
            <w:tcMar>
              <w:bottom w:w="0" w:type="dxa"/>
            </w:tcMar>
            <w:vAlign w:val="center"/>
          </w:tcPr>
          <w:p>
            <w:pPr>
              <w:pStyle w:val="TableContents"/>
              <w:bidi w:val="0"/>
              <w:spacing w:before="0" w:after="283"/>
              <w:jc w:val="left"/>
              <w:rPr/>
            </w:pPr>
            <w:r>
              <w:rPr/>
              <w:t> </w:t>
            </w:r>
            <w:bookmarkStart w:id="803" w:name="xdx_40B_eus-gaap--FiniteLivedIntangibleA"/>
            <w:bookmarkEnd w:id="803"/>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1,601,769</w:t>
            </w:r>
          </w:p>
        </w:tc>
        <w:tc>
          <w:tcPr>
            <w:tcW w:w="75" w:type="dxa"/>
            <w:tcBorders/>
            <w:shd w:fill="CCEEFF" w:val="clear"/>
            <w:tcMar>
              <w:bottom w:w="0" w:type="dxa"/>
            </w:tcMar>
            <w:vAlign w:val="center"/>
          </w:tcPr>
          <w:p>
            <w:pPr>
              <w:pStyle w:val="TableContents"/>
              <w:bidi w:val="0"/>
              <w:spacing w:before="0" w:after="283"/>
              <w:jc w:val="left"/>
              <w:rPr/>
            </w:pPr>
            <w:r>
              <w:rPr/>
              <w:t> </w:t>
            </w:r>
            <w:bookmarkStart w:id="804" w:name="xdx_40C_eus-gaap--FiniteLivedIntangibleA"/>
            <w:bookmarkEnd w:id="804"/>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1,594,769</w:t>
            </w:r>
          </w:p>
        </w:tc>
        <w:tc>
          <w:tcPr>
            <w:tcW w:w="75" w:type="dxa"/>
            <w:tcBorders/>
            <w:shd w:fill="FFFFFF" w:val="clear"/>
            <w:tcMar>
              <w:bottom w:w="0" w:type="dxa"/>
            </w:tcMar>
            <w:vAlign w:val="center"/>
          </w:tcPr>
          <w:p>
            <w:pPr>
              <w:pStyle w:val="TableContents"/>
              <w:bidi w:val="0"/>
              <w:spacing w:before="0" w:after="283"/>
              <w:jc w:val="left"/>
              <w:rPr/>
            </w:pPr>
            <w:r>
              <w:rPr/>
              <w:t> </w:t>
            </w:r>
            <w:bookmarkStart w:id="805" w:name="xdx_405_eus-gaap--FiniteLivedIntangibleA"/>
            <w:bookmarkEnd w:id="805"/>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1,283,975</w:t>
            </w:r>
          </w:p>
        </w:tc>
        <w:tc>
          <w:tcPr>
            <w:tcW w:w="75" w:type="dxa"/>
            <w:tcBorders/>
            <w:shd w:fill="CCEEFF" w:val="clear"/>
            <w:tcMar>
              <w:bottom w:w="0" w:type="dxa"/>
            </w:tcMar>
            <w:vAlign w:val="center"/>
          </w:tcPr>
          <w:p>
            <w:pPr>
              <w:pStyle w:val="TableContents"/>
              <w:bidi w:val="0"/>
              <w:spacing w:before="0" w:after="283"/>
              <w:jc w:val="left"/>
              <w:rPr/>
            </w:pPr>
            <w:r>
              <w:rPr/>
              <w:t> </w:t>
            </w:r>
            <w:bookmarkStart w:id="806" w:name="xdx_401_eus-gaap--FiniteLivedIntangibleA"/>
            <w:bookmarkEnd w:id="806"/>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1,060,543</w:t>
            </w:r>
          </w:p>
        </w:tc>
        <w:tc>
          <w:tcPr>
            <w:tcW w:w="75" w:type="dxa"/>
            <w:tcBorders/>
            <w:shd w:fill="FFFFFF" w:val="clear"/>
            <w:tcMar>
              <w:bottom w:w="0" w:type="dxa"/>
            </w:tcMar>
            <w:vAlign w:val="center"/>
          </w:tcPr>
          <w:p>
            <w:pPr>
              <w:pStyle w:val="TableContents"/>
              <w:bidi w:val="0"/>
              <w:spacing w:before="0" w:after="283"/>
              <w:jc w:val="left"/>
              <w:rPr/>
            </w:pPr>
            <w:r>
              <w:rPr/>
              <w:t> </w:t>
            </w:r>
            <w:bookmarkStart w:id="807" w:name="xdx_405_eus-gaap--FiniteLivedIntangibleA"/>
            <w:bookmarkEnd w:id="807"/>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pPr>
            <w:r>
              <w:rPr/>
              <w:t>8,744,594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8" w:name="xdx_8A6_zCA52b8UtVp5"/>
      <w:bookmarkEnd w:id="80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9" w:name="xdx_80A_ecustom--AccountsPayableToRelate"/>
      <w:bookmarkEnd w:id="809"/>
      <w:r>
        <w:rPr>
          <w:rFonts w:ascii="Times New Roman;Times;Serif" w:hAnsi="Times New Roman;Times;Serif"/>
          <w:b/>
          <w:i w:val="false"/>
          <w:caps w:val="false"/>
          <w:smallCaps w:val="false"/>
          <w:sz w:val="20"/>
        </w:rPr>
        <w:t xml:space="preserve">NOTE 10 – </w:t>
      </w:r>
      <w:bookmarkStart w:id="810" w:name="xdx_828_zixIZrjKOXr1"/>
      <w:bookmarkEnd w:id="810"/>
      <w:r>
        <w:rPr>
          <w:rFonts w:ascii="Times New Roman;Times;Serif" w:hAnsi="Times New Roman;Times;Serif"/>
          <w:b/>
          <w:i w:val="false"/>
          <w:caps w:val="false"/>
          <w:smallCaps w:val="false"/>
          <w:sz w:val="20"/>
        </w:rPr>
        <w:t>ACCOUNTS PAYABLE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due to related parties represents payables in the ordinary course of business primarily for purchases of game distribution licenses, research and development costs and also the royalties due to Suzhou Snail. In July 2024, the Company entered into another software development, publishing and distribution agreement with Suzhou Snail. Under the terms of the agreements Suzhou Snail will develop a game for distribution by the Company and the Company will make $</w:t>
      </w:r>
      <w:bookmarkStart w:id="811" w:name="xdx_904_ecustom--PaymentsForProceedsFrom"/>
      <w:bookmarkEnd w:id="811"/>
      <w:r>
        <w:rPr>
          <w:rFonts w:ascii="Times New Roman;Times;Serif" w:hAnsi="Times New Roman;Times;Serif"/>
          <w:b w:val="false"/>
          <w:i w:val="false"/>
          <w:caps w:val="false"/>
          <w:smallCaps w:val="false"/>
          <w:sz w:val="20"/>
        </w:rPr>
        <w:t>4.5 million in milestone payments during the development of the game and an ongoing royalty on sales of the game. The Company made $</w:t>
      </w:r>
      <w:bookmarkStart w:id="812" w:name="xdx_903_ecustom--PaymentsForProceedsFrom"/>
      <w:bookmarkEnd w:id="812"/>
      <w:r>
        <w:rPr>
          <w:rFonts w:ascii="Times New Roman;Times;Serif" w:hAnsi="Times New Roman;Times;Serif"/>
          <w:b w:val="false"/>
          <w:i w:val="false"/>
          <w:caps w:val="false"/>
          <w:smallCaps w:val="false"/>
          <w:sz w:val="20"/>
        </w:rPr>
        <w:t>2.5 million in milestone payments under the July contract, in 2025. In December 2024, the Company entered into an agreement with Suzhou Snail for the development of an application to deliver short film content to end users. In accordance with the agreement, Suzhou Snail developed the app for release and received $</w:t>
      </w:r>
      <w:bookmarkStart w:id="813" w:name="xdx_909_ecustom--DevelopmentFee_c2025010"/>
      <w:bookmarkEnd w:id="813"/>
      <w:r>
        <w:rPr>
          <w:rFonts w:ascii="Times New Roman;Times;Serif" w:hAnsi="Times New Roman;Times;Serif"/>
          <w:b w:val="false"/>
          <w:i w:val="false"/>
          <w:caps w:val="false"/>
          <w:smallCaps w:val="false"/>
          <w:sz w:val="20"/>
        </w:rPr>
        <w:t>290,000 as a development fee. As of December 31, 2025, the development fee has been capitalized in software under intangible assets, net in the Company’s consolidated balance sheets. As of December 31, 2024, the development fee was capitalized in software and license rights from related parties under intangible assets, net, in the Company’s consolidated balance sheets and was reclassified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an accounts payable – related party balance for payments made on behalf of Suzhou Snail for licensing, legal and marketing costs prior to the Company’s IPO. The Company also has accounts receivable – related party balance due from Suzhou for royalties collected on behalf of the Company prior to its IPO. The accounts receivable – Suzhou are due on demand. The Company has the legal right to offset amounts payable to the related party, including royalties and research and development fees, against the related party accounts receivable. The offset right is determinable, mutual and enforceable under applicable law. The Company intends to exercise this right to offset in future periods. In addition, Suzhou has committed not to collect more than </w:t>
      </w:r>
      <w:bookmarkStart w:id="814" w:name="xdx_903_ecustom--OutstandingPayablePerce"/>
      <w:bookmarkEnd w:id="814"/>
      <w:r>
        <w:rPr>
          <w:rFonts w:ascii="Times New Roman;Times;Serif" w:hAnsi="Times New Roman;Times;Serif"/>
          <w:b w:val="false"/>
          <w:i w:val="false"/>
          <w:caps w:val="false"/>
          <w:smallCaps w:val="false"/>
          <w:sz w:val="20"/>
        </w:rPr>
        <w:t>20% of the net outstanding payable from the Company within the next twelve months. Furthermore, no repayment will be demanded if such payment would cause Snail to be in default of its lending requirements or impair its ability to meet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extended its outsource agreement with Suzhou Snail for research and development of a game. In consideration, the Company will pay Suzhou Snail twelve equal monthly payments of $</w:t>
      </w:r>
      <w:bookmarkStart w:id="815" w:name="xdx_90C_eus-gaap--ReplacementReserveEscr"/>
      <w:bookmarkEnd w:id="815"/>
      <w:r>
        <w:rPr>
          <w:rFonts w:ascii="Times New Roman;Times;Serif" w:hAnsi="Times New Roman;Times;Serif"/>
          <w:b w:val="false"/>
          <w:i w:val="false"/>
          <w:caps w:val="false"/>
          <w:smallCaps w:val="false"/>
          <w:sz w:val="20"/>
        </w:rPr>
        <w:t>340,600, beginning on January 1, 2025. In August 2025, the Company entered into a Game Testing Service agreement with Suzhou Snail for the research and development testing for cross-platform game testing services. In consideration, the Company will pay $</w:t>
      </w:r>
      <w:bookmarkStart w:id="816" w:name="xdx_90D_eus-gaap--ReplacementReserveEscr"/>
      <w:bookmarkEnd w:id="816"/>
      <w:r>
        <w:rPr>
          <w:rFonts w:ascii="Times New Roman;Times;Serif" w:hAnsi="Times New Roman;Times;Serif"/>
          <w:b w:val="false"/>
          <w:i w:val="false"/>
          <w:caps w:val="false"/>
          <w:smallCaps w:val="false"/>
          <w:sz w:val="20"/>
        </w:rPr>
        <w:t>240,000 in four quarterly installments of $</w:t>
      </w:r>
      <w:bookmarkStart w:id="817" w:name="xdx_90A_ecustom--ReplacementReserveEscro"/>
      <w:bookmarkEnd w:id="817"/>
      <w:r>
        <w:rPr>
          <w:rFonts w:ascii="Times New Roman;Times;Serif" w:hAnsi="Times New Roman;Times;Serif"/>
          <w:b w:val="false"/>
          <w:i w:val="false"/>
          <w:caps w:val="false"/>
          <w:smallCaps w:val="false"/>
          <w:sz w:val="20"/>
        </w:rPr>
        <w:t xml:space="preserve">60,000 through June 2026. Additionally, in August 2025, the Company entered into a Short Drama Production agreement with Suzhou Snail in providing technical development, marketing and operational services related to the </w:t>
      </w:r>
      <w:r>
        <w:rPr>
          <w:rFonts w:ascii="Times New Roman;Times;Serif" w:hAnsi="Times New Roman;Times;Serif"/>
          <w:b w:val="false"/>
          <w:i/>
          <w:caps w:val="false"/>
          <w:smallCaps w:val="false"/>
          <w:sz w:val="20"/>
        </w:rPr>
        <w:t>SaltyTV</w:t>
      </w:r>
      <w:r>
        <w:rPr>
          <w:rFonts w:ascii="Times New Roman;Times;Serif" w:hAnsi="Times New Roman;Times;Serif"/>
          <w:b w:val="false"/>
          <w:i w:val="false"/>
          <w:caps w:val="false"/>
          <w:smallCaps w:val="false"/>
          <w:sz w:val="20"/>
        </w:rPr>
        <w:t xml:space="preserve"> platform. In consideration, the Company will pay $</w:t>
      </w:r>
      <w:bookmarkStart w:id="818" w:name="xdx_90D_eus-gaap--ReplacementReserveEscr"/>
      <w:bookmarkEnd w:id="818"/>
      <w:r>
        <w:rPr>
          <w:rFonts w:ascii="Times New Roman;Times;Serif" w:hAnsi="Times New Roman;Times;Serif"/>
          <w:b w:val="false"/>
          <w:i w:val="false"/>
          <w:caps w:val="false"/>
          <w:smallCaps w:val="false"/>
          <w:sz w:val="20"/>
        </w:rPr>
        <w:t>720,000, payable in quarterly installments of $</w:t>
      </w:r>
      <w:bookmarkStart w:id="819" w:name="xdx_904_ecustom--ReplacementReserveEscro"/>
      <w:bookmarkEnd w:id="819"/>
      <w:r>
        <w:rPr>
          <w:rFonts w:ascii="Times New Roman;Times;Serif" w:hAnsi="Times New Roman;Times;Serif"/>
          <w:b w:val="false"/>
          <w:i w:val="false"/>
          <w:caps w:val="false"/>
          <w:smallCaps w:val="false"/>
          <w:sz w:val="20"/>
        </w:rPr>
        <w:t>180,000 through June 2026. During the years ended December 31, 2025 and 2024, respectively, the Company incurred $</w:t>
      </w:r>
      <w:bookmarkStart w:id="820" w:name="xdx_901_eus-gaap--ResearchAndDevelopment"/>
      <w:bookmarkEnd w:id="820"/>
      <w:r>
        <w:rPr>
          <w:rFonts w:ascii="Times New Roman;Times;Serif" w:hAnsi="Times New Roman;Times;Serif"/>
          <w:b w:val="false"/>
          <w:i w:val="false"/>
          <w:caps w:val="false"/>
          <w:smallCaps w:val="false"/>
          <w:sz w:val="20"/>
        </w:rPr>
        <w:t>7,495,192 and $</w:t>
      </w:r>
      <w:bookmarkStart w:id="821" w:name="xdx_907_eus-gaap--ResearchAndDevelopment"/>
      <w:bookmarkEnd w:id="821"/>
      <w:r>
        <w:rPr>
          <w:rFonts w:ascii="Times New Roman;Times;Serif" w:hAnsi="Times New Roman;Times;Serif"/>
          <w:b w:val="false"/>
          <w:i w:val="false"/>
          <w:caps w:val="false"/>
          <w:smallCaps w:val="false"/>
          <w:sz w:val="20"/>
        </w:rPr>
        <w:t>4,728,213 of research and development costs from Suzhou Snail; and made $</w:t>
      </w:r>
      <w:bookmarkStart w:id="822" w:name="xdx_90E_eus-gaap--RelatedPartyTransactio"/>
      <w:bookmarkEnd w:id="822"/>
      <w:r>
        <w:rPr>
          <w:rFonts w:ascii="Times New Roman;Times;Serif" w:hAnsi="Times New Roman;Times;Serif"/>
          <w:b w:val="false"/>
          <w:i w:val="false"/>
          <w:caps w:val="false"/>
          <w:smallCaps w:val="false"/>
          <w:sz w:val="20"/>
        </w:rPr>
        <w:t>7,029,600 and $</w:t>
      </w:r>
      <w:bookmarkStart w:id="823" w:name="xdx_90F_eus-gaap--RelatedPartyTransactio"/>
      <w:bookmarkEnd w:id="823"/>
      <w:r>
        <w:rPr>
          <w:rFonts w:ascii="Times New Roman;Times;Serif" w:hAnsi="Times New Roman;Times;Serif"/>
          <w:b w:val="false"/>
          <w:i w:val="false"/>
          <w:caps w:val="false"/>
          <w:smallCaps w:val="false"/>
          <w:sz w:val="20"/>
        </w:rPr>
        <w:t>7,783,000 in payments to Suzhou Snail for royalties and research and development costs. During the years ended December 31, 2025 and 2024, the Company incurred $</w:t>
      </w:r>
      <w:bookmarkStart w:id="824" w:name="xdx_907_eus-gaap--CostsAndExpensesRelate"/>
      <w:bookmarkEnd w:id="824"/>
      <w:r>
        <w:rPr>
          <w:rFonts w:ascii="Times New Roman;Times;Serif" w:hAnsi="Times New Roman;Times;Serif"/>
          <w:b w:val="false"/>
          <w:i w:val="false"/>
          <w:caps w:val="false"/>
          <w:smallCaps w:val="false"/>
          <w:sz w:val="20"/>
        </w:rPr>
        <w:t>137,993 and $</w:t>
      </w:r>
      <w:bookmarkStart w:id="825" w:name="xdx_904_eus-gaap--CostsAndExpensesRelate"/>
      <w:bookmarkEnd w:id="825"/>
      <w:r>
        <w:rPr>
          <w:rFonts w:ascii="Times New Roman;Times;Serif" w:hAnsi="Times New Roman;Times;Serif"/>
          <w:b w:val="false"/>
          <w:i w:val="false"/>
          <w:caps w:val="false"/>
          <w:smallCaps w:val="false"/>
          <w:sz w:val="20"/>
        </w:rPr>
        <w:t>192,213, respectively as license costs due to Suzhou Snail and included in cost of revenues. The royalty payments are included in costs of revenues and research and development costs are included in operating expenses in the consolidated statements of operations and comprehensive income (loss) or capitalized as intangible assets, net in the consolidated balance sheets. Accounts payable – related parties consisted of the following as of December 31, 2025 and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6" w:name="xdx_8B2_zsAV0jSCR9hc"/>
      <w:bookmarkStart w:id="827" w:name="xdx_892_eus-gaap--ScheduleOfAccountsPaya"/>
      <w:bookmarkEnd w:id="826"/>
      <w:bookmarkEnd w:id="827"/>
      <w:r>
        <w:rPr>
          <w:rFonts w:ascii="Times New Roman;Times;Serif" w:hAnsi="Times New Roman;Times;Serif"/>
          <w:b w:val="false"/>
          <w:i w:val="false"/>
          <w:caps w:val="false"/>
          <w:smallCaps w:val="false"/>
          <w:sz w:val="20"/>
        </w:rPr>
        <w:t>SCHEDULE OF ACCOUNTS PAYABLE- RELATED PARTIES </w:t>
      </w:r>
    </w:p>
    <w:tbl>
      <w:tblPr>
        <w:tblW w:w="6710" w:type="dxa"/>
        <w:jc w:val="left"/>
        <w:tblInd w:w="0" w:type="dxa"/>
        <w:tblLayout w:type="fixed"/>
        <w:tblCellMar>
          <w:top w:w="0" w:type="dxa"/>
          <w:left w:w="0" w:type="dxa"/>
          <w:bottom w:w="0" w:type="dxa"/>
          <w:right w:w="0" w:type="dxa"/>
        </w:tblCellMar>
      </w:tblPr>
      <w:tblGrid>
        <w:gridCol w:w="3755"/>
        <w:gridCol w:w="60"/>
        <w:gridCol w:w="140"/>
        <w:gridCol w:w="1175"/>
        <w:gridCol w:w="95"/>
        <w:gridCol w:w="60"/>
        <w:gridCol w:w="140"/>
        <w:gridCol w:w="117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28" w:name="xdx_493_20251231_zFSLDsi09F1e"/>
            <w:bookmarkEnd w:id="828"/>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9" w:name="xdx_492_20241231_zTdopqmtSWMk"/>
            <w:bookmarkEnd w:id="829"/>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30" w:name="xdx_40F_eus-gaap--AccountsPayableCurrent"/>
            <w:bookmarkEnd w:id="830"/>
          </w:p>
        </w:tc>
      </w:tr>
      <w:tr>
        <w:trPr/>
        <w:tc>
          <w:tcPr>
            <w:tcW w:w="3755" w:type="dxa"/>
            <w:tcBorders/>
            <w:shd w:fill="CCEEFF" w:val="clear"/>
            <w:vAlign w:val="center"/>
          </w:tcPr>
          <w:p>
            <w:pPr>
              <w:pStyle w:val="TableContents"/>
              <w:bidi w:val="0"/>
              <w:spacing w:before="0" w:after="283"/>
              <w:jc w:val="left"/>
              <w:rPr/>
            </w:pPr>
            <w:r>
              <w:rPr/>
              <w:t>Accounts payable – Suzhou</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53,173,676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52,998,084</w:t>
            </w:r>
          </w:p>
        </w:tc>
        <w:tc>
          <w:tcPr>
            <w:tcW w:w="110" w:type="dxa"/>
            <w:tcBorders/>
            <w:shd w:fill="CCEEFF" w:val="clear"/>
            <w:vAlign w:val="center"/>
          </w:tcPr>
          <w:p>
            <w:pPr>
              <w:pStyle w:val="TableContents"/>
              <w:bidi w:val="0"/>
              <w:spacing w:before="0" w:after="283"/>
              <w:jc w:val="left"/>
              <w:rPr/>
            </w:pPr>
            <w:r>
              <w:rPr/>
              <w:t> </w:t>
            </w:r>
            <w:bookmarkStart w:id="831" w:name="xdx_40C_eus-gaap--AccountsReceivableGros"/>
            <w:bookmarkEnd w:id="831"/>
          </w:p>
        </w:tc>
      </w:tr>
      <w:tr>
        <w:trPr/>
        <w:tc>
          <w:tcPr>
            <w:tcW w:w="3755" w:type="dxa"/>
            <w:tcBorders/>
            <w:shd w:fill="FFFFFF" w:val="clear"/>
            <w:vAlign w:val="center"/>
          </w:tcPr>
          <w:p>
            <w:pPr>
              <w:pStyle w:val="TableContents"/>
              <w:bidi w:val="0"/>
              <w:spacing w:before="0" w:after="283"/>
              <w:jc w:val="left"/>
              <w:rPr/>
            </w:pPr>
            <w:r>
              <w:rPr/>
              <w:t>Less: accounts receivable – Suzhou</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(37,614,913</w:t>
            </w:r>
          </w:p>
        </w:tc>
        <w:tc>
          <w:tcPr>
            <w:tcW w:w="110" w:type="dxa"/>
            <w:tcBorders/>
            <w:shd w:fill="FFFFFF" w:val="clear"/>
            <w:vAlign w:val="center"/>
          </w:tcPr>
          <w:p>
            <w:pPr>
              <w:pStyle w:val="TableContents"/>
              <w:bidi w:val="0"/>
              <w:spacing w:before="0" w:after="283"/>
              <w:jc w:val="left"/>
              <w:rPr/>
            </w:pPr>
            <w:r>
              <w:rPr/>
              <w:t>)</w:t>
            </w:r>
            <w:bookmarkStart w:id="832" w:name="xdx_401_eus-gaap--AccountsPayableCurrent"/>
            <w:bookmarkEnd w:id="832"/>
          </w:p>
        </w:tc>
      </w:tr>
      <w:tr>
        <w:trPr/>
        <w:tc>
          <w:tcPr>
            <w:tcW w:w="3755" w:type="dxa"/>
            <w:tcBorders/>
            <w:shd w:fill="CCEEFF" w:val="clear"/>
            <w:vAlign w:val="center"/>
          </w:tcPr>
          <w:p>
            <w:pPr>
              <w:pStyle w:val="TableContents"/>
              <w:bidi w:val="0"/>
              <w:spacing w:before="0" w:after="283"/>
              <w:jc w:val="left"/>
              <w:rPr/>
            </w:pPr>
            <w:r>
              <w:rPr/>
              <w:t>Accounts payable – SDE (</w:t>
            </w:r>
            <w:r>
              <w:rPr>
                <w:i/>
              </w:rPr>
              <w:t>see Note 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4,508,250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33" w:name="xdx_40F_eus-gaap--AccountsPayableCurrent"/>
            <w:bookmarkEnd w:id="833"/>
          </w:p>
        </w:tc>
      </w:tr>
      <w:tr>
        <w:trPr/>
        <w:tc>
          <w:tcPr>
            <w:tcW w:w="3755" w:type="dxa"/>
            <w:tcBorders/>
            <w:shd w:fill="FFFFFF" w:val="clear"/>
            <w:vAlign w:val="center"/>
          </w:tcPr>
          <w:p>
            <w:pPr>
              <w:pStyle w:val="TableContents"/>
              <w:bidi w:val="0"/>
              <w:spacing w:before="0" w:after="283"/>
              <w:jc w:val="left"/>
              <w:rPr/>
            </w:pPr>
            <w:r>
              <w:rPr/>
              <w:t>Total 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20,067,013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15,383,171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4" w:name="xdx_8AA_zJZvehfg3i3e"/>
      <w:bookmarkEnd w:id="83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5" w:name="xdx_803_ecustom--LoanPayableAndInterestP"/>
      <w:bookmarkEnd w:id="835"/>
      <w:r>
        <w:rPr>
          <w:rFonts w:ascii="Times New Roman;Times;Serif" w:hAnsi="Times New Roman;Times;Serif"/>
          <w:b/>
          <w:i w:val="false"/>
          <w:caps w:val="false"/>
          <w:smallCaps w:val="false"/>
          <w:sz w:val="20"/>
        </w:rPr>
        <w:t xml:space="preserve">NOTE 11 – </w:t>
      </w:r>
      <w:bookmarkStart w:id="836" w:name="xdx_825_z3K453l9YM86"/>
      <w:bookmarkEnd w:id="836"/>
      <w:r>
        <w:rPr>
          <w:rFonts w:ascii="Times New Roman;Times;Serif" w:hAnsi="Times New Roman;Times;Serif"/>
          <w:b/>
          <w:i w:val="false"/>
          <w:caps w:val="false"/>
          <w:smallCaps w:val="false"/>
          <w:sz w:val="20"/>
        </w:rPr>
        <w:t>LOAN AND INTEREST RECEIVABLE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loaned $</w:t>
      </w:r>
      <w:bookmarkStart w:id="837" w:name="xdx_90A_eus-gaap--PaymentsToFundLongterm"/>
      <w:bookmarkEnd w:id="837"/>
      <w:r>
        <w:rPr>
          <w:rFonts w:ascii="Times New Roman;Times;Serif" w:hAnsi="Times New Roman;Times;Serif"/>
          <w:b w:val="false"/>
          <w:i w:val="false"/>
          <w:caps w:val="false"/>
          <w:smallCaps w:val="false"/>
          <w:sz w:val="20"/>
        </w:rPr>
        <w:t xml:space="preserve">200,000 to a wholly owned subsidiary of Suzhou Snail. The loan bears </w:t>
      </w:r>
      <w:bookmarkStart w:id="838" w:name="xdx_901_eus-gaap--RelatedPartyTransactio"/>
      <w:bookmarkEnd w:id="838"/>
      <w:r>
        <w:rPr>
          <w:rFonts w:ascii="Times New Roman;Times;Serif" w:hAnsi="Times New Roman;Times;Serif"/>
          <w:b w:val="false"/>
          <w:i w:val="false"/>
          <w:caps w:val="false"/>
          <w:smallCaps w:val="false"/>
          <w:sz w:val="20"/>
        </w:rPr>
        <w:t>2.0% per annum interest, interest and principal were due in February 2022. In February 2022, Suzhou Snail signed an agreement with this subsidiary and assumed the loan and related interest for a total of $</w:t>
      </w:r>
      <w:bookmarkStart w:id="839" w:name="xdx_907_ecustom--RelatedPartyLoanAmountA"/>
      <w:bookmarkEnd w:id="839"/>
      <w:r>
        <w:rPr>
          <w:rFonts w:ascii="Times New Roman;Times;Serif" w:hAnsi="Times New Roman;Times;Serif"/>
          <w:b w:val="false"/>
          <w:i w:val="false"/>
          <w:caps w:val="false"/>
          <w:smallCaps w:val="false"/>
          <w:sz w:val="20"/>
        </w:rPr>
        <w:t>203,890. Subsequently, $</w:t>
      </w:r>
      <w:bookmarkStart w:id="840" w:name="xdx_900_ecustom--AmountOfLoanAndInterest"/>
      <w:bookmarkEnd w:id="840"/>
      <w:r>
        <w:rPr>
          <w:rFonts w:ascii="Times New Roman;Times;Serif" w:hAnsi="Times New Roman;Times;Serif"/>
          <w:b w:val="false"/>
          <w:i w:val="false"/>
          <w:caps w:val="false"/>
          <w:smallCaps w:val="false"/>
          <w:sz w:val="20"/>
        </w:rPr>
        <w:t>103,890 was offset against the loan and interest payable owed to Suzhou Snail on a separate note. The total amount of loan and interest receivable — related party was $</w:t>
      </w:r>
      <w:bookmarkStart w:id="841" w:name="xdx_90F_eus-gaap--OtherReceivablesNetCur"/>
      <w:bookmarkEnd w:id="841"/>
      <w:r>
        <w:rPr>
          <w:rFonts w:ascii="Times New Roman;Times;Serif" w:hAnsi="Times New Roman;Times;Serif"/>
          <w:b w:val="false"/>
          <w:i w:val="false"/>
          <w:caps w:val="false"/>
          <w:smallCaps w:val="false"/>
          <w:sz w:val="20"/>
        </w:rPr>
        <w:t>107,759 and $</w:t>
      </w:r>
      <w:bookmarkStart w:id="842" w:name="xdx_903_eus-gaap--OtherReceivablesNetCur"/>
      <w:bookmarkEnd w:id="842"/>
      <w:r>
        <w:rPr>
          <w:rFonts w:ascii="Times New Roman;Times;Serif" w:hAnsi="Times New Roman;Times;Serif"/>
          <w:b w:val="false"/>
          <w:i w:val="false"/>
          <w:caps w:val="false"/>
          <w:smallCaps w:val="false"/>
          <w:sz w:val="20"/>
        </w:rPr>
        <w:t>105,759, as of December 31, 2025 and 2024, respectively. The Company earned $</w:t>
      </w:r>
      <w:bookmarkStart w:id="843" w:name="xdx_903_eus-gaap--InterestIncomeOperatin"/>
      <w:bookmarkEnd w:id="843"/>
      <w:r>
        <w:rPr>
          <w:rFonts w:ascii="Times New Roman;Times;Serif" w:hAnsi="Times New Roman;Times;Serif"/>
          <w:b w:val="false"/>
          <w:i w:val="false"/>
          <w:caps w:val="false"/>
          <w:smallCaps w:val="false"/>
          <w:sz w:val="20"/>
        </w:rPr>
        <w:t>2,000 and $</w:t>
      </w:r>
      <w:bookmarkStart w:id="844" w:name="xdx_90D_eus-gaap--InterestIncomeOperatin"/>
      <w:bookmarkEnd w:id="844"/>
      <w:r>
        <w:rPr>
          <w:rFonts w:ascii="Times New Roman;Times;Serif" w:hAnsi="Times New Roman;Times;Serif"/>
          <w:b w:val="false"/>
          <w:i w:val="false"/>
          <w:caps w:val="false"/>
          <w:smallCaps w:val="false"/>
          <w:sz w:val="20"/>
        </w:rPr>
        <w:t>2,005 in interest on the related party loans receivable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5" w:name="xdx_80A_eus-gaap--DebtDisclosureTextBloc"/>
      <w:bookmarkEnd w:id="845"/>
      <w:r>
        <w:rPr>
          <w:rFonts w:ascii="Times New Roman;Times;Serif" w:hAnsi="Times New Roman;Times;Serif"/>
          <w:b/>
          <w:i w:val="false"/>
          <w:caps w:val="false"/>
          <w:smallCaps w:val="false"/>
          <w:sz w:val="20"/>
        </w:rPr>
        <w:t xml:space="preserve">NOTE 12 – </w:t>
      </w:r>
      <w:bookmarkStart w:id="846" w:name="xdx_829_zlZJOOiWqYPl"/>
      <w:bookmarkEnd w:id="846"/>
      <w:r>
        <w:rPr>
          <w:rFonts w:ascii="Times New Roman;Times;Serif" w:hAnsi="Times New Roman;Times;Serif"/>
          <w:b/>
          <w:i w:val="false"/>
          <w:caps w:val="false"/>
          <w:smallCaps w:val="false"/>
          <w:sz w:val="20"/>
        </w:rPr>
        <w:t>REVOLVING LOAN, SHORT TERM NOTES AND LONG - TERM DEBT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47" w:name="xdx_8BC_z4W4sWyH47D4"/>
      <w:bookmarkStart w:id="848" w:name="xdx_897_eus-gaap--ScheduleOfDebtInstrume"/>
      <w:bookmarkEnd w:id="847"/>
      <w:bookmarkEnd w:id="848"/>
      <w:r>
        <w:rPr>
          <w:rFonts w:ascii="Times New Roman;Times;Serif" w:hAnsi="Times New Roman;Times;Serif"/>
          <w:b w:val="false"/>
          <w:i w:val="false"/>
          <w:caps w:val="false"/>
          <w:smallCaps w:val="false"/>
          <w:sz w:val="20"/>
        </w:rPr>
        <w:t>SCHEDULE OF LONG TERM DEBT </w:t>
      </w:r>
    </w:p>
    <w:tbl>
      <w:tblPr>
        <w:tblW w:w="10205" w:type="dxa"/>
        <w:jc w:val="left"/>
        <w:tblInd w:w="0" w:type="dxa"/>
        <w:tblLayout w:type="fixed"/>
        <w:tblCellMar>
          <w:top w:w="0" w:type="dxa"/>
          <w:left w:w="0" w:type="dxa"/>
          <w:bottom w:w="0" w:type="dxa"/>
          <w:right w:w="0" w:type="dxa"/>
        </w:tblCellMar>
      </w:tblPr>
      <w:tblGrid>
        <w:gridCol w:w="7518"/>
        <w:gridCol w:w="60"/>
        <w:gridCol w:w="143"/>
        <w:gridCol w:w="1129"/>
        <w:gridCol w:w="60"/>
        <w:gridCol w:w="60"/>
        <w:gridCol w:w="144"/>
        <w:gridCol w:w="1013"/>
        <w:gridCol w:w="78"/>
      </w:tblGrid>
      <w:tr>
        <w:trPr/>
        <w:tc>
          <w:tcPr>
            <w:tcW w:w="751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49" w:name="xdx_491_20251231_zsVSowWXP0a2"/>
            <w:bookmarkEnd w:id="849"/>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0" w:name="xdx_493_20241231_z4dYdZmQGNHa"/>
            <w:bookmarkEnd w:id="850"/>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8" w:type="dxa"/>
            <w:tcBorders/>
            <w:vAlign w:val="center"/>
          </w:tcPr>
          <w:p>
            <w:pPr>
              <w:pStyle w:val="TableContents"/>
              <w:bidi w:val="0"/>
              <w:spacing w:before="0" w:after="283"/>
              <w:jc w:val="left"/>
              <w:rPr/>
            </w:pPr>
            <w:r>
              <w:rPr/>
              <w:t> </w:t>
            </w:r>
            <w:bookmarkStart w:id="851" w:name="xdx_409_eus-gaap--DebtLongtermAndShortte"/>
            <w:bookmarkEnd w:id="851"/>
          </w:p>
        </w:tc>
      </w:tr>
      <w:tr>
        <w:trPr/>
        <w:tc>
          <w:tcPr>
            <w:tcW w:w="7518" w:type="dxa"/>
            <w:tcBorders/>
            <w:shd w:fill="CCEEFF" w:val="clear"/>
            <w:vAlign w:val="center"/>
          </w:tcPr>
          <w:p>
            <w:pPr>
              <w:pStyle w:val="TableContents"/>
              <w:bidi w:val="0"/>
              <w:spacing w:before="0" w:after="283"/>
              <w:jc w:val="both"/>
              <w:rPr/>
            </w:pPr>
            <w:r>
              <w:rPr>
                <w:b/>
              </w:rPr>
              <w:t>2021 Revolving Loan</w:t>
            </w:r>
            <w:r>
              <w:rPr/>
              <w:t xml:space="preserve"> – On January 2, 2026, the Company amended its revolving loan agreement and decreased the maximum balance from $</w:t>
            </w:r>
            <w:bookmarkStart w:id="852" w:name="xdx_90E_eus-gaap--LineOfCreditFacilityMa"/>
            <w:bookmarkEnd w:id="852"/>
            <w:r>
              <w:rPr/>
              <w:t>6,000,000 to $</w:t>
            </w:r>
            <w:bookmarkStart w:id="853" w:name="xdx_90D_eus-gaap--LineOfCreditFacilityMa"/>
            <w:bookmarkEnd w:id="853"/>
            <w:r>
              <w:rPr/>
              <w:t xml:space="preserve">5,000,000. The revolving maturity date of the revolving loan is extended to </w:t>
            </w:r>
            <w:bookmarkStart w:id="854" w:name="xdx_90E_eus-gaap--LineOfCreditFacilityEx"/>
            <w:bookmarkEnd w:id="854"/>
            <w:r>
              <w:rPr/>
              <w:t xml:space="preserve">March 31, 2030, and has an annual interest rate equal to the prime rate less </w:t>
            </w:r>
            <w:bookmarkStart w:id="855" w:name="xdx_909_ecustom--DebtInstrumentBasisSpre"/>
            <w:bookmarkEnd w:id="855"/>
            <w:r>
              <w:rPr/>
              <w:t xml:space="preserve">0.25% and a floor of </w:t>
            </w:r>
            <w:bookmarkStart w:id="856" w:name="xdx_90C_ecustom--DebtInstrumentInterestR"/>
            <w:bookmarkEnd w:id="856"/>
            <w:r>
              <w:rPr/>
              <w:t xml:space="preserve">6.50%. In March 2026, the Company received a subsequent extension of the revolving loan maturity date to </w:t>
            </w:r>
            <w:bookmarkStart w:id="857" w:name="xdx_908_eus-gaap--DebtInstrumentMaturity"/>
            <w:bookmarkEnd w:id="857"/>
            <w:r>
              <w:rPr/>
              <w:t xml:space="preserve">March 31, 2030. Debt covenants of this loan require the Company to maintain a minimum debt service coverage ratio of at least </w:t>
            </w:r>
            <w:bookmarkStart w:id="858" w:name="xdx_90B_ecustom--MinimumRequirementOfDeb"/>
            <w:bookmarkEnd w:id="858"/>
            <w:r>
              <w:rPr/>
              <w:t>1.5 to 1 and is required to maintain a $</w:t>
            </w:r>
            <w:bookmarkStart w:id="859" w:name="xdx_905_eus-gaap--Deposits_iI_c20260102_"/>
            <w:bookmarkEnd w:id="859"/>
            <w:r>
              <w:rPr/>
              <w:t xml:space="preserve">1,000,000 pledge deposit. At December 31, 2025, the interest rate on this loan was </w:t>
            </w:r>
            <w:bookmarkStart w:id="860" w:name="xdx_904_eus-gaap--DebtInstrumentInterest"/>
            <w:bookmarkEnd w:id="860"/>
            <w:r>
              <w:rPr/>
              <w:t>6.5%. The Company was in compliance with the debt covenants of this loan for the trailing twelve month period ended December 31, 2025, and it is reasonably possible it will remain in compliance for the twelve months thereafter. Prior to latest amendment, the revolving loan had been extended through three prior amendments, with the original maturity date of December 31, 2023 extended successively to December 31, 2024, June 30, 2025, and June 30, 2026, respectively. As a result of the maturity date being extended beyond twelve months from the balance sheet date, the outstanding balance has been classified as long-term debt as of December 31, 2025 compared to its classification as current debt as of December 31, 2024.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3,000,000</w:t>
            </w:r>
          </w:p>
        </w:tc>
        <w:tc>
          <w:tcPr>
            <w:tcW w:w="78" w:type="dxa"/>
            <w:tcBorders/>
            <w:shd w:fill="CCEEFF" w:val="clear"/>
            <w:vAlign w:val="center"/>
          </w:tcPr>
          <w:p>
            <w:pPr>
              <w:pStyle w:val="TableContents"/>
              <w:bidi w:val="0"/>
              <w:spacing w:before="0" w:after="283"/>
              <w:jc w:val="left"/>
              <w:rPr/>
            </w:pPr>
            <w:r>
              <w:rPr/>
              <w:t> </w:t>
            </w:r>
            <w:bookmarkStart w:id="861" w:name="xdx_400_eus-gaap--DebtLongtermAndShortte"/>
            <w:bookmarkEnd w:id="861"/>
          </w:p>
        </w:tc>
      </w:tr>
      <w:tr>
        <w:trPr/>
        <w:tc>
          <w:tcPr>
            <w:tcW w:w="7518" w:type="dxa"/>
            <w:tcBorders/>
            <w:shd w:fill="FFFFFF" w:val="clear"/>
            <w:vAlign w:val="center"/>
          </w:tcPr>
          <w:p>
            <w:pPr>
              <w:pStyle w:val="TableContents"/>
              <w:bidi w:val="0"/>
              <w:spacing w:before="0" w:after="283"/>
              <w:jc w:val="both"/>
              <w:rPr/>
            </w:pPr>
            <w:r>
              <w:rPr>
                <w:b/>
              </w:rPr>
              <w:t>2021 Promissory Note</w:t>
            </w:r>
            <w:r>
              <w:rPr/>
              <w:t xml:space="preserve"> – On June 17, 2021, the Company amended its loan agreement to reduce the principal amount with a financial institution for 10 years, annual interest rate of </w:t>
            </w:r>
            <w:bookmarkStart w:id="862" w:name="xdx_909_eus-gaap--DebtInstrumentInterest"/>
            <w:bookmarkEnd w:id="862"/>
            <w:r>
              <w:rPr/>
              <w:t xml:space="preserve">3.5% for the first </w:t>
            </w:r>
            <w:bookmarkStart w:id="863" w:name="xdx_903_ecustom--DebtInstrumentPrincipal"/>
            <w:bookmarkEnd w:id="863"/>
            <w:r>
              <w:rPr/>
              <w:t xml:space="preserve">5 years, and then floating at Wall Street Journal rate from </w:t>
            </w:r>
            <w:bookmarkStart w:id="864" w:name="xdx_907_eus-gaap--DebtInstrumentDescript"/>
            <w:bookmarkEnd w:id="864"/>
            <w:r>
              <w:rPr/>
              <w:t>years 6 to 10. The loan is secured by the Company’s building, with a carrying value of $</w:t>
            </w:r>
            <w:bookmarkStart w:id="865" w:name="xdx_90A_eus-gaap--SecuredDebt_iI_pn5n6_c"/>
            <w:bookmarkEnd w:id="865"/>
            <w:r>
              <w:rPr/>
              <w:t xml:space="preserve">4.1 million, and matures on </w:t>
            </w:r>
            <w:bookmarkStart w:id="866" w:name="xdx_908_eus-gaap--DebtInstrumentMaturity"/>
            <w:bookmarkEnd w:id="866"/>
            <w:r>
              <w:rPr/>
              <w:t xml:space="preserve">June 30, 2031. The note is subject to a prepayment penalty. Debt covenants of this loan require the Company to maintain a minimum debt service coverage ratio of at least </w:t>
            </w:r>
            <w:bookmarkStart w:id="867" w:name="xdx_90D_ecustom--MinimumRequirementOfDeb"/>
            <w:bookmarkEnd w:id="867"/>
            <w:r>
              <w:rPr/>
              <w:t>1.5 to 1. The Company was in compliance with the debt covenants of this loan for the trailing twelve month period ended December 31, 2025, and it is reasonably possible it will remain in compliance for the twelve months thereafter. At December 2024, the Company was in compliance with the debt covenants of this loan; however, the Company was expected to be non-compliant with the debt covenants in the following twelve months and presented the long-term portion of the note as current.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2,636,536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2,722,549</w:t>
            </w:r>
          </w:p>
        </w:tc>
        <w:tc>
          <w:tcPr>
            <w:tcW w:w="78" w:type="dxa"/>
            <w:tcBorders/>
            <w:shd w:fill="FFFFFF" w:val="clear"/>
            <w:vAlign w:val="center"/>
          </w:tcPr>
          <w:p>
            <w:pPr>
              <w:pStyle w:val="TableContents"/>
              <w:bidi w:val="0"/>
              <w:spacing w:before="0" w:after="283"/>
              <w:jc w:val="left"/>
              <w:rPr/>
            </w:pPr>
            <w:r>
              <w:rPr/>
              <w:t> </w:t>
            </w:r>
            <w:bookmarkStart w:id="868" w:name="xdx_407_eus-gaap--DebtLongtermAndShortte"/>
            <w:bookmarkEnd w:id="868"/>
          </w:p>
        </w:tc>
      </w:tr>
      <w:tr>
        <w:trPr/>
        <w:tc>
          <w:tcPr>
            <w:tcW w:w="7518" w:type="dxa"/>
            <w:tcBorders/>
            <w:shd w:fill="CCEEFF" w:val="clear"/>
            <w:vAlign w:val="center"/>
          </w:tcPr>
          <w:p>
            <w:pPr>
              <w:pStyle w:val="TableContents"/>
              <w:bidi w:val="0"/>
              <w:spacing w:before="0" w:after="283"/>
              <w:jc w:val="both"/>
              <w:rPr/>
            </w:pPr>
            <w:r>
              <w:rPr>
                <w:b/>
              </w:rPr>
              <w:t>February 2025 Convertible Notes</w:t>
            </w:r>
            <w:r>
              <w:rPr/>
              <w:t xml:space="preserve"> – On February 21, 2025, the Company issued convertible notes at a </w:t>
            </w:r>
            <w:bookmarkStart w:id="869" w:name="xdx_90C_ecustom--ConvertibleNoteDiscount"/>
            <w:bookmarkEnd w:id="869"/>
            <w:r>
              <w:rPr/>
              <w:t>10.0% discount and a principal balance of $</w:t>
            </w:r>
            <w:bookmarkStart w:id="870" w:name="xdx_903_eus-gaap--DebtInstrumentFaceAmou"/>
            <w:bookmarkStart w:id="871" w:name="xdx_903_eus-gaap--DebtInstrumentFaceAmou"/>
            <w:bookmarkEnd w:id="870"/>
            <w:bookmarkEnd w:id="871"/>
            <w:r>
              <w:rPr/>
              <w:t xml:space="preserve">3,300,000. The notes had an interest rate of </w:t>
            </w:r>
            <w:bookmarkStart w:id="872" w:name="xdx_900_eus-gaap--DebtInstrumentInterest"/>
            <w:bookmarkEnd w:id="872"/>
            <w:r>
              <w:rPr/>
              <w:t xml:space="preserve">5.0%, were paid in consecutive monthly installments beginning </w:t>
            </w:r>
            <w:bookmarkStart w:id="873" w:name="xdx_907_eus-gaap--DebtInstrumentDateOfFi"/>
            <w:bookmarkEnd w:id="873"/>
            <w:r>
              <w:rPr/>
              <w:t xml:space="preserve">May 21, 2025 and matured on February 21, 2026. </w:t>
            </w:r>
            <w:bookmarkStart w:id="874" w:name="xdx_90F_eus-gaap--DefaultLongtermDebtDes"/>
            <w:bookmarkEnd w:id="874"/>
            <w:r>
              <w:rPr/>
              <w:t>In the event of a default the Company could have been required to pay to the holders an amount equal to the principal outstanding, plus any accrued interest through the date of payments, multiplied by 120%. The Company had the option to prepay the notes at any time and the note holders have the option to convert the notes, in whole or in part, at any time. The Company elected the fair value option to account for the convertible notes. This note was fully paid in February 2026 (see Note 20 – Subsequent Events).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691,010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75" w:name="xdx_405_eus-gaap--DebtLongtermAndShortte"/>
            <w:bookmarkEnd w:id="875"/>
          </w:p>
        </w:tc>
      </w:tr>
      <w:tr>
        <w:trPr/>
        <w:tc>
          <w:tcPr>
            <w:tcW w:w="7518" w:type="dxa"/>
            <w:tcBorders/>
            <w:shd w:fill="FFFFFF" w:val="clear"/>
            <w:vAlign w:val="center"/>
          </w:tcPr>
          <w:p>
            <w:pPr>
              <w:pStyle w:val="TableContents"/>
              <w:bidi w:val="0"/>
              <w:spacing w:before="0" w:after="283"/>
              <w:jc w:val="both"/>
              <w:rPr/>
            </w:pPr>
            <w:r>
              <w:rPr>
                <w:b/>
              </w:rPr>
              <w:t>2025 Term Loan</w:t>
            </w:r>
            <w:r>
              <w:rPr/>
              <w:t xml:space="preserve"> – On June 10, 2025, the Company entered into a term loan agreement with a principal balance of $</w:t>
            </w:r>
            <w:bookmarkStart w:id="876" w:name="xdx_90B_eus-gaap--DebtInstrumentFaceAmou"/>
            <w:bookmarkEnd w:id="876"/>
            <w:r>
              <w:rPr/>
              <w:t xml:space="preserve">3,500,000. The note has a floating rate of </w:t>
            </w:r>
            <w:bookmarkStart w:id="877" w:name="xdx_902_eus-gaap--DebtInstrumentInterest"/>
            <w:bookmarkEnd w:id="877"/>
            <w:r>
              <w:rPr/>
              <w:t xml:space="preserve">0.50% in excess of the Wall Street Journal Prime Rate and a floor of </w:t>
            </w:r>
            <w:bookmarkStart w:id="878" w:name="xdx_907_ecustom--DebtInstrumentInterestR"/>
            <w:bookmarkEnd w:id="878"/>
            <w:r>
              <w:rPr/>
              <w:t xml:space="preserve">6.50%, and is paid in monthly installments starting </w:t>
            </w:r>
            <w:bookmarkStart w:id="879" w:name="xdx_903_eus-gaap--DebtInstrumentDateOfFi"/>
            <w:bookmarkEnd w:id="879"/>
            <w:r>
              <w:rPr/>
              <w:t xml:space="preserve">July 1, 2025, and maturing </w:t>
            </w:r>
            <w:bookmarkStart w:id="880" w:name="xdx_905_eus-gaap--DebtInstrumentMaturity"/>
            <w:bookmarkEnd w:id="880"/>
            <w:r>
              <w:rPr/>
              <w:t xml:space="preserve">June 30, 2028. As of December 2025, the interest on this loan is </w:t>
            </w:r>
            <w:bookmarkStart w:id="881" w:name="xdx_90C_eus-gaap--DebtInstrumentInterest"/>
            <w:bookmarkEnd w:id="881"/>
            <w:r>
              <w:rPr/>
              <w:t xml:space="preserve">7.25%. In the event of a default, the Company could be required to pay the lender the entire principal balance, plus any accrued and unpaid interest immediately due and payable, without notice or demand. The note is secured by a lien on collateral. Collateral includes all of the borrower’s rights, title, and interest in all assets, including but not limited to accounts, equipment, deposits, intellectual property and books and records. Debt covenants of this loan requires the Company to maintain a minimum debt service coverage ratio of at least </w:t>
            </w:r>
            <w:bookmarkStart w:id="882" w:name="xdx_90A_ecustom--MinimumRequirementOfDeb"/>
            <w:bookmarkEnd w:id="882"/>
            <w:r>
              <w:rPr/>
              <w:t>1.5 to 1. The Company was in compliance with debt covenants of this loan for the trailing twelve month period ended December 31, 2025, and it is reasonably possible it will remain in compliance for the twelve months thereafter.</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2,961,882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83" w:name="xdx_40D_eus-gaap--DebtLongtermAndShortte"/>
            <w:bookmarkEnd w:id="883"/>
          </w:p>
        </w:tc>
      </w:tr>
      <w:tr>
        <w:trPr/>
        <w:tc>
          <w:tcPr>
            <w:tcW w:w="7518" w:type="dxa"/>
            <w:tcBorders/>
            <w:shd w:fill="CCEEFF" w:val="clear"/>
            <w:vAlign w:val="center"/>
          </w:tcPr>
          <w:p>
            <w:pPr>
              <w:pStyle w:val="TableContents"/>
              <w:bidi w:val="0"/>
              <w:spacing w:before="0" w:after="283"/>
              <w:jc w:val="both"/>
              <w:rPr/>
            </w:pPr>
            <w:r>
              <w:rPr>
                <w:b/>
              </w:rPr>
              <w:t>October 2025 Convertible Notes</w:t>
            </w:r>
            <w:r>
              <w:rPr/>
              <w:t xml:space="preserve"> – On October 24, 2025, the Company issued convertible notes at a </w:t>
            </w:r>
            <w:bookmarkStart w:id="884" w:name="xdx_90C_ecustom--ConvertibleNoteDiscount"/>
            <w:bookmarkEnd w:id="884"/>
            <w:r>
              <w:rPr/>
              <w:t>10.0% discount and a principal balance of $</w:t>
            </w:r>
            <w:bookmarkStart w:id="885" w:name="xdx_90A_eus-gaap--DebtInstrumentFaceAmou"/>
            <w:bookmarkEnd w:id="885"/>
            <w:r>
              <w:rPr/>
              <w:t xml:space="preserve">2,200,000. The notes had an interest rate of </w:t>
            </w:r>
            <w:bookmarkStart w:id="886" w:name="xdx_909_eus-gaap--DebtInstrumentInterest"/>
            <w:bookmarkEnd w:id="886"/>
            <w:r>
              <w:rPr/>
              <w:t xml:space="preserve">5.0% are payable in consecutive monthly installments beginning </w:t>
            </w:r>
            <w:bookmarkStart w:id="887" w:name="xdx_90F_eus-gaap--DebtInstrumentDateOfFi"/>
            <w:bookmarkEnd w:id="887"/>
            <w:r>
              <w:rPr/>
              <w:t xml:space="preserve">January 24, 2026 and will mature on </w:t>
            </w:r>
            <w:bookmarkStart w:id="888" w:name="xdx_90A_eus-gaap--DebtInstrumentMaturity"/>
            <w:bookmarkEnd w:id="888"/>
            <w:r>
              <w:rPr/>
              <w:t xml:space="preserve">October 24, 2026. </w:t>
            </w:r>
            <w:bookmarkStart w:id="889" w:name="xdx_902_eus-gaap--DefaultLongtermDebtDes"/>
            <w:bookmarkEnd w:id="889"/>
            <w:r>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into shares of the Company’s Class A common stock. The Company elected the fair value option to account for the convertible notes.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2,115,856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90" w:name="xdx_40A_eus-gaap--DebtLongtermAndShortte"/>
            <w:bookmarkEnd w:id="890"/>
          </w:p>
        </w:tc>
      </w:tr>
      <w:tr>
        <w:trPr/>
        <w:tc>
          <w:tcPr>
            <w:tcW w:w="7518" w:type="dxa"/>
            <w:tcBorders/>
            <w:shd w:fill="FFFFFF" w:val="clear"/>
            <w:vAlign w:val="center"/>
          </w:tcPr>
          <w:p>
            <w:pPr>
              <w:pStyle w:val="TableContents"/>
              <w:bidi w:val="0"/>
              <w:spacing w:before="0" w:after="283"/>
              <w:jc w:val="both"/>
              <w:rPr/>
            </w:pPr>
            <w:r>
              <w:rPr>
                <w:b/>
              </w:rPr>
              <w:t>November 2025 Convertible Notes</w:t>
            </w:r>
            <w:r>
              <w:rPr/>
              <w:t xml:space="preserve"> – On November 26, 2025, the Company issued convertible notes at a </w:t>
            </w:r>
            <w:bookmarkStart w:id="891" w:name="xdx_909_ecustom--ConvertibleNoteDiscount"/>
            <w:bookmarkEnd w:id="891"/>
            <w:r>
              <w:rPr/>
              <w:t>10.0% discount and a principal balance of $</w:t>
            </w:r>
            <w:bookmarkStart w:id="892" w:name="xdx_903_eus-gaap--DebtInstrumentFaceAmou"/>
            <w:bookmarkEnd w:id="892"/>
            <w:r>
              <w:rPr/>
              <w:t xml:space="preserve">1,100,000. The notes had an interest rate of </w:t>
            </w:r>
            <w:bookmarkStart w:id="893" w:name="xdx_90F_eus-gaap--DebtInstrumentInterest"/>
            <w:bookmarkEnd w:id="893"/>
            <w:r>
              <w:rPr/>
              <w:t xml:space="preserve">5.0% and are payable in consecutive monthly installments beginning </w:t>
            </w:r>
            <w:bookmarkStart w:id="894" w:name="xdx_906_eus-gaap--DebtInstrumentDateOfFi"/>
            <w:bookmarkEnd w:id="894"/>
            <w:r>
              <w:rPr/>
              <w:t xml:space="preserve">February 26, 2026 and will mature on </w:t>
            </w:r>
            <w:bookmarkStart w:id="895" w:name="xdx_900_eus-gaap--DebtInstrumentMaturity"/>
            <w:bookmarkEnd w:id="895"/>
            <w:r>
              <w:rPr/>
              <w:t xml:space="preserve">November 26, 2026. </w:t>
            </w:r>
            <w:bookmarkStart w:id="896" w:name="xdx_905_eus-gaap--DefaultLongtermDebtDes"/>
            <w:bookmarkEnd w:id="896"/>
            <w:r>
              <w:rPr/>
              <w:t>In the event of a default the Company could be required to pay to the holders an amount equal to the principal outstanding, plus any accrued interest through the date of payments, multiplied by 120%. The Company has the option to prepay the notes at any time and the note holders have the option to convert the notes, in whole or in part, at any time into shares of the Company’s Class A common stock. The Company elected the fair value option to account for the convertible notes.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1,035,323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97" w:name="xdx_405_eus-gaap--DebtLongtermAndShortte"/>
            <w:bookmarkEnd w:id="897"/>
          </w:p>
        </w:tc>
      </w:tr>
      <w:tr>
        <w:trPr/>
        <w:tc>
          <w:tcPr>
            <w:tcW w:w="7518" w:type="dxa"/>
            <w:tcBorders/>
            <w:shd w:fill="CCEEFF" w:val="clear"/>
            <w:vAlign w:val="center"/>
          </w:tcPr>
          <w:p>
            <w:pPr>
              <w:pStyle w:val="TableContents"/>
              <w:bidi w:val="0"/>
              <w:spacing w:before="0" w:after="283"/>
              <w:jc w:val="both"/>
              <w:rPr/>
            </w:pPr>
            <w:r>
              <w:rPr/>
              <w:t>Total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14,440,607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5,722,549</w:t>
            </w:r>
          </w:p>
        </w:tc>
        <w:tc>
          <w:tcPr>
            <w:tcW w:w="78" w:type="dxa"/>
            <w:tcBorders/>
            <w:shd w:fill="CCEEFF" w:val="clear"/>
            <w:vAlign w:val="center"/>
          </w:tcPr>
          <w:p>
            <w:pPr>
              <w:pStyle w:val="TableContents"/>
              <w:bidi w:val="0"/>
              <w:spacing w:before="0" w:after="283"/>
              <w:jc w:val="left"/>
              <w:rPr/>
            </w:pPr>
            <w:r>
              <w:rPr/>
              <w:t> </w:t>
            </w:r>
            <w:bookmarkStart w:id="898" w:name="xdx_40E_eus-gaap--LongTermDebtCurrent_iI"/>
            <w:bookmarkEnd w:id="898"/>
          </w:p>
        </w:tc>
      </w:tr>
      <w:tr>
        <w:trPr/>
        <w:tc>
          <w:tcPr>
            <w:tcW w:w="7518" w:type="dxa"/>
            <w:tcBorders/>
            <w:shd w:fill="FFFFFF" w:val="clear"/>
            <w:vAlign w:val="center"/>
          </w:tcPr>
          <w:p>
            <w:pPr>
              <w:pStyle w:val="TableContents"/>
              <w:bidi w:val="0"/>
              <w:spacing w:before="0" w:after="283"/>
              <w:jc w:val="both"/>
              <w:rPr/>
            </w:pPr>
            <w:r>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1,305,880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2,722,549</w:t>
            </w:r>
          </w:p>
        </w:tc>
        <w:tc>
          <w:tcPr>
            <w:tcW w:w="78" w:type="dxa"/>
            <w:tcBorders/>
            <w:shd w:fill="FFFFFF" w:val="clear"/>
            <w:vAlign w:val="center"/>
          </w:tcPr>
          <w:p>
            <w:pPr>
              <w:pStyle w:val="TableContents"/>
              <w:bidi w:val="0"/>
              <w:spacing w:before="0" w:after="283"/>
              <w:jc w:val="left"/>
              <w:rPr/>
            </w:pPr>
            <w:r>
              <w:rPr/>
              <w:t> </w:t>
            </w:r>
            <w:bookmarkStart w:id="899" w:name="xdx_40C_ecustom--RevolvingLoanPayableCur"/>
            <w:bookmarkEnd w:id="899"/>
          </w:p>
        </w:tc>
      </w:tr>
      <w:tr>
        <w:trPr/>
        <w:tc>
          <w:tcPr>
            <w:tcW w:w="7518" w:type="dxa"/>
            <w:tcBorders/>
            <w:shd w:fill="CCEEFF" w:val="clear"/>
            <w:vAlign w:val="center"/>
          </w:tcPr>
          <w:p>
            <w:pPr>
              <w:pStyle w:val="TableContents"/>
              <w:bidi w:val="0"/>
              <w:spacing w:before="0" w:after="283"/>
              <w:jc w:val="both"/>
              <w:rPr/>
            </w:pPr>
            <w:r>
              <w:rPr/>
              <w:t>Less: revolving loan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3,000,000</w:t>
            </w:r>
          </w:p>
        </w:tc>
        <w:tc>
          <w:tcPr>
            <w:tcW w:w="78" w:type="dxa"/>
            <w:tcBorders/>
            <w:shd w:fill="CCEEFF" w:val="clear"/>
            <w:vAlign w:val="center"/>
          </w:tcPr>
          <w:p>
            <w:pPr>
              <w:pStyle w:val="TableContents"/>
              <w:bidi w:val="0"/>
              <w:spacing w:before="0" w:after="283"/>
              <w:jc w:val="left"/>
              <w:rPr/>
            </w:pPr>
            <w:r>
              <w:rPr/>
              <w:t> </w:t>
            </w:r>
            <w:bookmarkStart w:id="900" w:name="xdx_400_ecustom--TermLoanCurrent_iI_z8Xx"/>
            <w:bookmarkEnd w:id="900"/>
          </w:p>
        </w:tc>
      </w:tr>
      <w:tr>
        <w:trPr/>
        <w:tc>
          <w:tcPr>
            <w:tcW w:w="7518" w:type="dxa"/>
            <w:tcBorders/>
            <w:shd w:fill="FFFFFF" w:val="clear"/>
            <w:vAlign w:val="center"/>
          </w:tcPr>
          <w:p>
            <w:pPr>
              <w:pStyle w:val="TableContents"/>
              <w:bidi w:val="0"/>
              <w:spacing w:before="0" w:after="283"/>
              <w:jc w:val="both"/>
              <w:rPr/>
            </w:pPr>
            <w:r>
              <w:rPr/>
              <w:t>Less: current portion of term loan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901" w:name="xdx_40D_eus-gaap--ConvertibleNotesPayabl"/>
            <w:bookmarkEnd w:id="901"/>
          </w:p>
        </w:tc>
      </w:tr>
      <w:tr>
        <w:trPr/>
        <w:tc>
          <w:tcPr>
            <w:tcW w:w="7518" w:type="dxa"/>
            <w:tcBorders/>
            <w:shd w:fill="CCEEFF" w:val="clear"/>
            <w:vAlign w:val="center"/>
          </w:tcPr>
          <w:p>
            <w:pPr>
              <w:pStyle w:val="TableContents"/>
              <w:bidi w:val="0"/>
              <w:spacing w:before="0" w:after="283"/>
              <w:jc w:val="both"/>
              <w:rPr/>
            </w:pPr>
            <w:r>
              <w:rPr/>
              <w:t>Less: convertible notes at fair value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3,842,189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902" w:name="xdx_40A_ecustom--RevolvingLoanShortTermN"/>
            <w:bookmarkEnd w:id="902"/>
          </w:p>
        </w:tc>
      </w:tr>
      <w:tr>
        <w:trPr/>
        <w:tc>
          <w:tcPr>
            <w:tcW w:w="7518" w:type="dxa"/>
            <w:tcBorders/>
            <w:shd w:fill="FFFFFF" w:val="clear"/>
            <w:vAlign w:val="center"/>
          </w:tcPr>
          <w:p>
            <w:pPr>
              <w:pStyle w:val="TableContents"/>
              <w:bidi w:val="0"/>
              <w:spacing w:before="0" w:after="283"/>
              <w:jc w:val="both"/>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9,292,538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903" w:name="xdx_8A1_zXXzjCK0FSx1"/>
      <w:bookmarkEnd w:id="9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for the above debt and revolving loan amounted to $</w:t>
      </w:r>
      <w:bookmarkStart w:id="904" w:name="xdx_904_eus-gaap--InterestExpenseDebt_pp"/>
      <w:bookmarkEnd w:id="904"/>
      <w:r>
        <w:rPr>
          <w:rFonts w:ascii="Times New Roman;Times;Serif" w:hAnsi="Times New Roman;Times;Serif"/>
          <w:b w:val="false"/>
          <w:i w:val="false"/>
          <w:caps w:val="false"/>
          <w:smallCaps w:val="false"/>
          <w:sz w:val="20"/>
        </w:rPr>
        <w:t>641,923 and $</w:t>
      </w:r>
      <w:bookmarkStart w:id="905" w:name="xdx_901_eus-gaap--InterestExpenseDebt_pp"/>
      <w:bookmarkEnd w:id="905"/>
      <w:r>
        <w:rPr>
          <w:rFonts w:ascii="Times New Roman;Times;Serif" w:hAnsi="Times New Roman;Times;Serif"/>
          <w:b w:val="false"/>
          <w:i w:val="false"/>
          <w:caps w:val="false"/>
          <w:smallCaps w:val="false"/>
          <w:sz w:val="20"/>
        </w:rPr>
        <w:t>713,475 for the years ended December 31, 2025 and 2024, respectively. Accretion of the convertible notes and amortization of loan origination expenses and loan discounts of $</w:t>
      </w:r>
      <w:bookmarkStart w:id="906" w:name="xdx_90E_eus-gaap--AmortizationOfDeferred"/>
      <w:bookmarkEnd w:id="906"/>
      <w:r>
        <w:rPr>
          <w:rFonts w:ascii="Times New Roman;Times;Serif" w:hAnsi="Times New Roman;Times;Serif"/>
          <w:b w:val="false"/>
          <w:i w:val="false"/>
          <w:caps w:val="false"/>
          <w:smallCaps w:val="false"/>
          <w:sz w:val="20"/>
        </w:rPr>
        <w:t>13,109 and $</w:t>
      </w:r>
      <w:bookmarkStart w:id="907" w:name="xdx_905_eus-gaap--AmortizationOfDeferred"/>
      <w:bookmarkEnd w:id="907"/>
      <w:r>
        <w:rPr>
          <w:rFonts w:ascii="Times New Roman;Times;Serif" w:hAnsi="Times New Roman;Times;Serif"/>
          <w:b w:val="false"/>
          <w:i w:val="false"/>
          <w:caps w:val="false"/>
          <w:smallCaps w:val="false"/>
          <w:sz w:val="20"/>
        </w:rPr>
        <w:t xml:space="preserve">345,837 are included as part of interest expense for the years ended December 31, 2025 and 2024, respectively. The Company has a weighted average interest rate of </w:t>
      </w:r>
      <w:bookmarkStart w:id="908" w:name="xdx_908_eus-gaap--DebtWeightedAverageInt"/>
      <w:bookmarkEnd w:id="908"/>
      <w:r>
        <w:rPr>
          <w:rFonts w:ascii="Times New Roman;Times;Serif" w:hAnsi="Times New Roman;Times;Serif"/>
          <w:b w:val="false"/>
          <w:i w:val="false"/>
          <w:caps w:val="false"/>
          <w:smallCaps w:val="false"/>
          <w:sz w:val="20"/>
        </w:rPr>
        <w:t xml:space="preserve">5.7% and </w:t>
      </w:r>
      <w:bookmarkStart w:id="909" w:name="xdx_905_eus-gaap--DebtWeightedAverageInt"/>
      <w:bookmarkEnd w:id="909"/>
      <w:r>
        <w:rPr>
          <w:rFonts w:ascii="Times New Roman;Times;Serif" w:hAnsi="Times New Roman;Times;Serif"/>
          <w:b w:val="false"/>
          <w:i w:val="false"/>
          <w:caps w:val="false"/>
          <w:smallCaps w:val="false"/>
          <w:sz w:val="20"/>
        </w:rPr>
        <w:t>5.6% on its short-term obligations as of December 31, 2025 and 2024, respectively. The Company was in compliance with its debt covenants related to the 2021 Revolving Loan, 2021 Promissory Note and 2025 Term Loan for the trailing twelve months ended December 31, 2025, and it is reasonably possible it will remain in compliance for the twelve months thereafter.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0" w:name="xdx_893_eus-gaap--ScheduleOfMaturitiesOf"/>
      <w:bookmarkEnd w:id="910"/>
      <w:r>
        <w:rPr>
          <w:rFonts w:ascii="Times New Roman;Times;Serif" w:hAnsi="Times New Roman;Times;Serif"/>
          <w:b w:val="false"/>
          <w:i w:val="false"/>
          <w:caps w:val="false"/>
          <w:smallCaps w:val="false"/>
          <w:sz w:val="20"/>
        </w:rPr>
        <w:t>The following table provides future minimum payments of its long-term debt based on contractual payments,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11" w:name="xdx_8B8_zzmLfX5fOFbb"/>
      <w:bookmarkEnd w:id="911"/>
      <w:r>
        <w:rPr>
          <w:rFonts w:ascii="Times New Roman;Times;Serif" w:hAnsi="Times New Roman;Times;Serif"/>
          <w:b w:val="false"/>
          <w:i w:val="false"/>
          <w:caps w:val="false"/>
          <w:smallCaps w:val="false"/>
          <w:sz w:val="20"/>
        </w:rPr>
        <w:t>SCHEDULE OF FUTURE MINIMUM PAYMENTS OF LONG TERM DEBT</w:t>
      </w:r>
    </w:p>
    <w:tbl>
      <w:tblPr>
        <w:tblW w:w="4215" w:type="dxa"/>
        <w:jc w:val="left"/>
        <w:tblInd w:w="0" w:type="dxa"/>
        <w:tblLayout w:type="fixed"/>
        <w:tblCellMar>
          <w:top w:w="0" w:type="dxa"/>
          <w:left w:w="0" w:type="dxa"/>
          <w:bottom w:w="28" w:type="dxa"/>
          <w:right w:w="0" w:type="dxa"/>
        </w:tblCellMar>
      </w:tblPr>
      <w:tblGrid>
        <w:gridCol w:w="2840"/>
        <w:gridCol w:w="60"/>
        <w:gridCol w:w="140"/>
        <w:gridCol w:w="110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912" w:name="xdx_49F_20251231_zbTdeXMUY0rh"/>
            <w:bookmarkEnd w:id="912"/>
          </w:p>
        </w:tc>
        <w:tc>
          <w:tcPr>
            <w:tcW w:w="124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913" w:name="xdx_400_eus-gaap--LongTermDebtMaturities"/>
            <w:bookmarkEnd w:id="913"/>
          </w:p>
        </w:tc>
      </w:tr>
      <w:tr>
        <w:trPr/>
        <w:tc>
          <w:tcPr>
            <w:tcW w:w="2840" w:type="dxa"/>
            <w:tcBorders/>
            <w:shd w:fill="CCEEFF" w:val="clear"/>
            <w:tcMar>
              <w:bottom w:w="0" w:type="dxa"/>
            </w:tcMar>
            <w:vAlign w:val="center"/>
          </w:tcPr>
          <w:p>
            <w:pPr>
              <w:pStyle w:val="TableContents"/>
              <w:bidi w:val="0"/>
              <w:spacing w:before="0" w:after="283"/>
              <w:jc w:val="both"/>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5,261,812</w:t>
            </w:r>
          </w:p>
        </w:tc>
        <w:tc>
          <w:tcPr>
            <w:tcW w:w="75" w:type="dxa"/>
            <w:tcBorders/>
            <w:shd w:fill="CCEEFF" w:val="clear"/>
            <w:tcMar>
              <w:bottom w:w="0" w:type="dxa"/>
            </w:tcMar>
            <w:vAlign w:val="center"/>
          </w:tcPr>
          <w:p>
            <w:pPr>
              <w:pStyle w:val="TableContents"/>
              <w:bidi w:val="0"/>
              <w:spacing w:before="0" w:after="283"/>
              <w:jc w:val="left"/>
              <w:rPr/>
            </w:pPr>
            <w:r>
              <w:rPr/>
              <w:t> </w:t>
            </w:r>
            <w:bookmarkStart w:id="914" w:name="xdx_40B_eus-gaap--LongTermDebtMaturities"/>
            <w:bookmarkEnd w:id="914"/>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1,305,111</w:t>
            </w:r>
          </w:p>
        </w:tc>
        <w:tc>
          <w:tcPr>
            <w:tcW w:w="75" w:type="dxa"/>
            <w:tcBorders/>
            <w:shd w:fill="FFFFFF" w:val="clear"/>
            <w:tcMar>
              <w:bottom w:w="0" w:type="dxa"/>
            </w:tcMar>
            <w:vAlign w:val="center"/>
          </w:tcPr>
          <w:p>
            <w:pPr>
              <w:pStyle w:val="TableContents"/>
              <w:bidi w:val="0"/>
              <w:spacing w:before="0" w:after="283"/>
              <w:jc w:val="left"/>
              <w:rPr/>
            </w:pPr>
            <w:r>
              <w:rPr/>
              <w:t> </w:t>
            </w:r>
            <w:bookmarkStart w:id="915" w:name="xdx_40E_eus-gaap--LongTermDebtMaturities"/>
            <w:bookmarkEnd w:id="915"/>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627,750</w:t>
            </w:r>
          </w:p>
        </w:tc>
        <w:tc>
          <w:tcPr>
            <w:tcW w:w="75" w:type="dxa"/>
            <w:tcBorders/>
            <w:shd w:fill="CCEEFF" w:val="clear"/>
            <w:tcMar>
              <w:bottom w:w="0" w:type="dxa"/>
            </w:tcMar>
            <w:vAlign w:val="center"/>
          </w:tcPr>
          <w:p>
            <w:pPr>
              <w:pStyle w:val="TableContents"/>
              <w:bidi w:val="0"/>
              <w:spacing w:before="0" w:after="283"/>
              <w:jc w:val="left"/>
              <w:rPr/>
            </w:pPr>
            <w:r>
              <w:rPr/>
              <w:t> </w:t>
            </w:r>
            <w:bookmarkStart w:id="916" w:name="xdx_406_eus-gaap--LongTermDebtMaturities"/>
            <w:bookmarkEnd w:id="916"/>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99,101</w:t>
            </w:r>
          </w:p>
        </w:tc>
        <w:tc>
          <w:tcPr>
            <w:tcW w:w="75" w:type="dxa"/>
            <w:tcBorders/>
            <w:shd w:fill="FFFFFF" w:val="clear"/>
            <w:tcMar>
              <w:bottom w:w="0" w:type="dxa"/>
            </w:tcMar>
            <w:vAlign w:val="center"/>
          </w:tcPr>
          <w:p>
            <w:pPr>
              <w:pStyle w:val="TableContents"/>
              <w:bidi w:val="0"/>
              <w:spacing w:before="0" w:after="283"/>
              <w:jc w:val="left"/>
              <w:rPr/>
            </w:pPr>
            <w:r>
              <w:rPr/>
              <w:t> </w:t>
            </w:r>
            <w:bookmarkStart w:id="917" w:name="xdx_40F_eus-gaap--LongTermDebtMaturities"/>
            <w:bookmarkEnd w:id="917"/>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5,102,675</w:t>
            </w:r>
          </w:p>
        </w:tc>
        <w:tc>
          <w:tcPr>
            <w:tcW w:w="75" w:type="dxa"/>
            <w:tcBorders/>
            <w:shd w:fill="CCEEFF" w:val="clear"/>
            <w:tcMar>
              <w:bottom w:w="0" w:type="dxa"/>
            </w:tcMar>
            <w:vAlign w:val="center"/>
          </w:tcPr>
          <w:p>
            <w:pPr>
              <w:pStyle w:val="TableContents"/>
              <w:bidi w:val="0"/>
              <w:spacing w:before="0" w:after="283"/>
              <w:jc w:val="left"/>
              <w:rPr/>
            </w:pPr>
            <w:r>
              <w:rPr/>
              <w:t> </w:t>
            </w:r>
            <w:bookmarkStart w:id="918" w:name="xdx_404_eus-gaap--LongTermDebtMaturities"/>
            <w:bookmarkEnd w:id="918"/>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2,157,901</w:t>
            </w:r>
          </w:p>
        </w:tc>
        <w:tc>
          <w:tcPr>
            <w:tcW w:w="75" w:type="dxa"/>
            <w:tcBorders/>
            <w:shd w:fill="FFFFFF" w:val="clear"/>
            <w:tcMar>
              <w:bottom w:w="0" w:type="dxa"/>
            </w:tcMar>
            <w:vAlign w:val="center"/>
          </w:tcPr>
          <w:p>
            <w:pPr>
              <w:pStyle w:val="TableContents"/>
              <w:bidi w:val="0"/>
              <w:spacing w:before="0" w:after="283"/>
              <w:jc w:val="left"/>
              <w:rPr/>
            </w:pPr>
            <w:r>
              <w:rPr/>
              <w:t> </w:t>
            </w:r>
            <w:bookmarkStart w:id="919" w:name="xdx_402_eus-gaap--LongTermDebt_iTI_mtLTD"/>
            <w:bookmarkEnd w:id="919"/>
          </w:p>
        </w:tc>
      </w:tr>
      <w:tr>
        <w:trPr/>
        <w:tc>
          <w:tcPr>
            <w:tcW w:w="28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Long 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14,554,350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0" w:name="xdx_8A9_zXrLWXweUNek"/>
      <w:bookmarkEnd w:id="92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because the Company elected the fair value option for the February 2025 Convertible Notes, October 2025 Convertible Notes and November 2025 Convertible Notes, there were no separately recognized unamortized premium, debt discount, or deferred issuance cost balances associated with these instruments. Accordingly, the net carrying amount of each such instrument equaled its fair value as of December 31, 2025. The February 2025 Convertible Notes, October 2025 Convertible Notes and November 2025 Convertible notes had net carrying amounts, or fair values, of $</w:t>
      </w:r>
      <w:bookmarkStart w:id="921" w:name="xdx_900_eus-gaap--ConvertibleDebtFairVal"/>
      <w:bookmarkEnd w:id="921"/>
      <w:r>
        <w:rPr>
          <w:rFonts w:ascii="Times New Roman;Times;Serif" w:hAnsi="Times New Roman;Times;Serif"/>
          <w:b w:val="false"/>
          <w:i w:val="false"/>
          <w:caps w:val="false"/>
          <w:smallCaps w:val="false"/>
          <w:sz w:val="20"/>
        </w:rPr>
        <w:t>691,010, $</w:t>
      </w:r>
      <w:bookmarkStart w:id="922" w:name="xdx_90E_eus-gaap--ConvertibleDebtFairVal"/>
      <w:bookmarkEnd w:id="922"/>
      <w:r>
        <w:rPr>
          <w:rFonts w:ascii="Times New Roman;Times;Serif" w:hAnsi="Times New Roman;Times;Serif"/>
          <w:b w:val="false"/>
          <w:i w:val="false"/>
          <w:caps w:val="false"/>
          <w:smallCaps w:val="false"/>
          <w:sz w:val="20"/>
        </w:rPr>
        <w:t>2,115,856 and $</w:t>
      </w:r>
      <w:bookmarkStart w:id="923" w:name="xdx_902_eus-gaap--ConvertibleDebtFairVal"/>
      <w:bookmarkEnd w:id="923"/>
      <w:r>
        <w:rPr>
          <w:rFonts w:ascii="Times New Roman;Times;Serif" w:hAnsi="Times New Roman;Times;Serif"/>
          <w:b w:val="false"/>
          <w:i w:val="false"/>
          <w:caps w:val="false"/>
          <w:smallCaps w:val="false"/>
          <w:sz w:val="20"/>
        </w:rPr>
        <w:t>1,035,323 as of December 31, 2025, respectively, and were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February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pursuant to a securities purchase agreement (the “SPA”), the Company issued to two accredited investors (the “Investors”) convertible notes with an aggregate principal amount of $</w:t>
      </w:r>
      <w:bookmarkStart w:id="924" w:name="xdx_909_eus-gaap--DebtInstrumentFaceAmou"/>
      <w:bookmarkEnd w:id="924"/>
      <w:r>
        <w:rPr>
          <w:rFonts w:ascii="Times New Roman;Times;Serif" w:hAnsi="Times New Roman;Times;Serif"/>
          <w:b w:val="false"/>
          <w:i w:val="false"/>
          <w:caps w:val="false"/>
          <w:smallCaps w:val="false"/>
          <w:sz w:val="20"/>
        </w:rPr>
        <w:t>3,300,000 (the “February 2025 Convertible Notes”) for gross proceeds of $</w:t>
      </w:r>
      <w:bookmarkStart w:id="925" w:name="xdx_907_eus-gaap--ProceedsFromConvertibl"/>
      <w:bookmarkEnd w:id="925"/>
      <w:r>
        <w:rPr>
          <w:rFonts w:ascii="Times New Roman;Times;Serif" w:hAnsi="Times New Roman;Times;Serif"/>
          <w:b w:val="false"/>
          <w:i w:val="false"/>
          <w:caps w:val="false"/>
          <w:smallCaps w:val="false"/>
          <w:sz w:val="20"/>
        </w:rPr>
        <w:t xml:space="preserve">3,000,000. The February 2025 Convertible Notes, which mature on February 21, 2026, carry an original issue discount of </w:t>
      </w:r>
      <w:bookmarkStart w:id="926" w:name="xdx_902_ecustom--DebtInstrumentOriginalI"/>
      <w:bookmarkEnd w:id="926"/>
      <w:r>
        <w:rPr>
          <w:rFonts w:ascii="Times New Roman;Times;Serif" w:hAnsi="Times New Roman;Times;Serif"/>
          <w:b w:val="false"/>
          <w:i w:val="false"/>
          <w:caps w:val="false"/>
          <w:smallCaps w:val="false"/>
          <w:sz w:val="20"/>
        </w:rPr>
        <w:t xml:space="preserve">10%, and were subject to a guaranteed interest equal to </w:t>
      </w:r>
      <w:bookmarkStart w:id="927" w:name="xdx_900_eus-gaap--DebtConversionOriginal"/>
      <w:bookmarkEnd w:id="927"/>
      <w:r>
        <w:rPr>
          <w:rFonts w:ascii="Times New Roman;Times;Serif" w:hAnsi="Times New Roman;Times;Serif"/>
          <w:b w:val="false"/>
          <w:i w:val="false"/>
          <w:caps w:val="false"/>
          <w:smallCaps w:val="false"/>
          <w:sz w:val="20"/>
        </w:rPr>
        <w:t>5% of the principal amount. The principal and interest charges were payable in 10 equal monthly payments starting May 21, 2025. The notes were fully paid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a portion of the then outstanding and unpaid principal and interest (the “conversion amount”) of the February 2025 Convertible Notes could be converted at the option of the holder at any time into shares of the Company’s Class A common, at a conversion price of $</w:t>
      </w:r>
      <w:bookmarkStart w:id="928" w:name="xdx_902_eus-gaap--SharePrice_iI_pid_c202"/>
      <w:bookmarkEnd w:id="928"/>
      <w:r>
        <w:rPr>
          <w:rFonts w:ascii="Times New Roman;Times;Serif" w:hAnsi="Times New Roman;Times;Serif"/>
          <w:b w:val="false"/>
          <w:i w:val="false"/>
          <w:caps w:val="false"/>
          <w:smallCaps w:val="false"/>
          <w:sz w:val="20"/>
        </w:rPr>
        <w:t>5.00 per share, except that, for an aggregate of $</w:t>
      </w:r>
      <w:bookmarkStart w:id="929" w:name="xdx_901_eus-gaap--DebtConversionConverte"/>
      <w:bookmarkEnd w:id="929"/>
      <w:r>
        <w:rPr>
          <w:rFonts w:ascii="Times New Roman;Times;Serif" w:hAnsi="Times New Roman;Times;Serif"/>
          <w:b w:val="false"/>
          <w:i w:val="false"/>
          <w:caps w:val="false"/>
          <w:smallCaps w:val="false"/>
          <w:sz w:val="20"/>
        </w:rPr>
        <w:t xml:space="preserve">866,250 of </w:t>
      </w:r>
      <w:bookmarkStart w:id="930" w:name="xdx_90F_eus-gaap--DebtConversionDescript"/>
      <w:bookmarkEnd w:id="930"/>
      <w:r>
        <w:rPr>
          <w:rFonts w:ascii="Times New Roman;Times;Serif" w:hAnsi="Times New Roman;Times;Serif"/>
          <w:b w:val="false"/>
          <w:i w:val="false"/>
          <w:caps w:val="false"/>
          <w:smallCaps w:val="false"/>
          <w:sz w:val="20"/>
        </w:rPr>
        <w:t>the conversion amount, the conversion price was equal to the lesser of $5.00 per share or 92% of the lowest daily volume weighted average price (“VWAP”) of the Class A common stock during the 5 trading days period prior the receipt of the notice of conversion (the “Market Price”). The conversion price could be adjusted for certain customary dilutive events. Accordingly, the number of shares issuable upon conversion of the February 2025 Convertible Notes was not fixed as of December 31, 2025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2025 Convertible Notes could be prepaid by the Company upon giving the Investors a ten-calendar day notice by paying an amount equal to the outstanding balance. </w:t>
      </w:r>
      <w:bookmarkStart w:id="931" w:name="xdx_908_eus-gaap--DebtInstrumentDescript"/>
      <w:bookmarkEnd w:id="931"/>
      <w:r>
        <w:rPr>
          <w:rFonts w:ascii="Times New Roman;Times;Serif" w:hAnsi="Times New Roman;Times;Serif"/>
          <w:b w:val="false"/>
          <w:i w:val="false"/>
          <w:caps w:val="false"/>
          <w:smallCaps w:val="false"/>
          <w:sz w:val="20"/>
        </w:rPr>
        <w:t>In event of default the Investors could require the Company to prepay the February 2025 Convertible Notes at a 120% premium and have the option to convert any amount then outstanding into shares of Common Stock at the lesser of the then applicable conversion price or the Market Price. If the Company fails to make the monthly payment, the Noteholders had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2025 Convertible Notes include multiple features that would require bifurcation, analysis and to be revalued at each reporting date. Accordingly, the Company has elected to apply the fair value option to the February 2025 Convertible Notes to simplify the reporting. The February 2025 Convertible Notes were initially measured at fair value and are being re-measured at fair value at each subsequent reporting date. From the date of issuance through December 31, 2025, the change in fair value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2" w:name="xdx_8BC_zXteyMFQ7Plh"/>
      <w:bookmarkStart w:id="933" w:name="xdx_899_eus-gaap--ScheduleOfFairValueAss"/>
      <w:bookmarkEnd w:id="932"/>
      <w:bookmarkEnd w:id="933"/>
      <w:r>
        <w:rPr>
          <w:rFonts w:ascii="Times New Roman;Times;Serif" w:hAnsi="Times New Roman;Times;Serif"/>
          <w:b w:val="false"/>
          <w:i w:val="false"/>
          <w:caps w:val="false"/>
          <w:smallCaps w:val="false"/>
          <w:sz w:val="20"/>
        </w:rPr>
        <w:t>SCHEDULE OF CHANGE IN FAIR VALUE</w:t>
      </w:r>
    </w:p>
    <w:tbl>
      <w:tblPr>
        <w:tblW w:w="4505" w:type="dxa"/>
        <w:jc w:val="left"/>
        <w:tblInd w:w="0" w:type="dxa"/>
        <w:tblLayout w:type="fixed"/>
        <w:tblCellMar>
          <w:top w:w="0" w:type="dxa"/>
          <w:left w:w="0" w:type="dxa"/>
          <w:bottom w:w="0" w:type="dxa"/>
          <w:right w:w="0" w:type="dxa"/>
        </w:tblCellMar>
      </w:tblPr>
      <w:tblGrid>
        <w:gridCol w:w="3140"/>
        <w:gridCol w:w="60"/>
        <w:gridCol w:w="140"/>
        <w:gridCol w:w="1055"/>
        <w:gridCol w:w="110"/>
      </w:tblGrid>
      <w:tr>
        <w:trPr/>
        <w:tc>
          <w:tcPr>
            <w:tcW w:w="3140" w:type="dxa"/>
            <w:tcBorders/>
            <w:shd w:fill="CCEEFF" w:val="clear"/>
            <w:vAlign w:val="center"/>
          </w:tcPr>
          <w:p>
            <w:pPr>
              <w:pStyle w:val="TableContents"/>
              <w:bidi w:val="0"/>
              <w:spacing w:before="0" w:after="283"/>
              <w:jc w:val="left"/>
              <w:rPr/>
            </w:pPr>
            <w:r>
              <w:rPr/>
              <w:t>Fair value, at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34" w:name="xdx_984_eus-gaap--ConvertibleDebtFairVal"/>
            <w:bookmarkEnd w:id="934"/>
          </w:p>
        </w:tc>
        <w:tc>
          <w:tcPr>
            <w:tcW w:w="1055"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35" w:name="xdx_980_eus-gaap--RepaymentsOfConvertibl"/>
            <w:bookmarkEnd w:id="935"/>
          </w:p>
        </w:tc>
        <w:tc>
          <w:tcPr>
            <w:tcW w:w="1055" w:type="dxa"/>
            <w:tcBorders/>
            <w:shd w:fill="FFFFFF" w:val="clear"/>
            <w:vAlign w:val="center"/>
          </w:tcPr>
          <w:p>
            <w:pPr>
              <w:pStyle w:val="TableContents"/>
              <w:bidi w:val="0"/>
              <w:spacing w:before="0" w:after="283"/>
              <w:jc w:val="right"/>
              <w:rPr/>
            </w:pPr>
            <w:r>
              <w:rPr/>
              <w:t>(2,303,527</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36" w:name="xdx_98A_ecustom--ConversionToCommonStock"/>
            <w:bookmarkEnd w:id="936"/>
          </w:p>
        </w:tc>
        <w:tc>
          <w:tcPr>
            <w:tcW w:w="1055" w:type="dxa"/>
            <w:tcBorders/>
            <w:shd w:fill="CCEEFF" w:val="clear"/>
            <w:vAlign w:val="center"/>
          </w:tcPr>
          <w:p>
            <w:pPr>
              <w:pStyle w:val="TableContents"/>
              <w:bidi w:val="0"/>
              <w:spacing w:before="0" w:after="283"/>
              <w:jc w:val="right"/>
              <w:rPr/>
            </w:pPr>
            <w:r>
              <w:rPr/>
              <w:t>(331,500</w:t>
            </w:r>
          </w:p>
        </w:tc>
        <w:tc>
          <w:tcPr>
            <w:tcW w:w="110" w:type="dxa"/>
            <w:tcBorders/>
            <w:shd w:fill="CCEEFF" w:val="clear"/>
            <w:vAlign w:val="center"/>
          </w:tcPr>
          <w:p>
            <w:pPr>
              <w:pStyle w:val="TableContents"/>
              <w:bidi w:val="0"/>
              <w:spacing w:before="0" w:after="283"/>
              <w:jc w:val="left"/>
              <w:rPr/>
            </w:pPr>
            <w:r>
              <w:rPr/>
              <w:t>)</w:t>
            </w:r>
          </w:p>
        </w:tc>
      </w:tr>
      <w:tr>
        <w:trPr/>
        <w:tc>
          <w:tcPr>
            <w:tcW w:w="31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7" w:name="xdx_987_eus-gaap--FairValueOptionChanges"/>
            <w:bookmarkEnd w:id="937"/>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326,037</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38" w:name="xdx_980_eus-gaap--ConvertibleDebtFairVal"/>
            <w:bookmarkEnd w:id="93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691,010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9" w:name="xdx_8A5_zeplYasb7Myi"/>
      <w:bookmarkEnd w:id="9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holders converted $</w:t>
      </w:r>
      <w:bookmarkStart w:id="940" w:name="xdx_905_eus-gaap--StockIssuedDuringPerio"/>
      <w:bookmarkEnd w:id="940"/>
      <w:r>
        <w:rPr>
          <w:rFonts w:ascii="Times New Roman;Times;Serif" w:hAnsi="Times New Roman;Times;Serif"/>
          <w:b w:val="false"/>
          <w:i w:val="false"/>
          <w:caps w:val="false"/>
          <w:smallCaps w:val="false"/>
          <w:sz w:val="20"/>
        </w:rPr>
        <w:t xml:space="preserve">331,500 of the February 2025 Convertible Notes into </w:t>
      </w:r>
      <w:bookmarkStart w:id="941" w:name="xdx_908_eus-gaap--StockIssuedDuringPerio"/>
      <w:bookmarkEnd w:id="941"/>
      <w:r>
        <w:rPr>
          <w:rFonts w:ascii="Times New Roman;Times;Serif" w:hAnsi="Times New Roman;Times;Serif"/>
          <w:b w:val="false"/>
          <w:i w:val="false"/>
          <w:caps w:val="false"/>
          <w:smallCaps w:val="false"/>
          <w:sz w:val="20"/>
        </w:rPr>
        <w:t>295,873 shares of the Company’s Class A common stock. The loss from change in fair value of $</w:t>
      </w:r>
      <w:bookmarkStart w:id="942" w:name="xdx_90F_eus-gaap--OtherIncome_c20250101_"/>
      <w:bookmarkEnd w:id="942"/>
      <w:r>
        <w:rPr>
          <w:rFonts w:ascii="Times New Roman;Times;Serif" w:hAnsi="Times New Roman;Times;Serif"/>
          <w:b w:val="false"/>
          <w:i w:val="false"/>
          <w:caps w:val="false"/>
          <w:smallCaps w:val="false"/>
          <w:sz w:val="20"/>
        </w:rPr>
        <w:t>350,434 is reported in other income in our consolidated statement of operations and comprehensive income (loss) and other income of ($</w:t>
      </w:r>
      <w:bookmarkStart w:id="943" w:name="xdx_902_eus-gaap--PriorPeriodReclassific"/>
      <w:bookmarkEnd w:id="943"/>
      <w:r>
        <w:rPr>
          <w:rFonts w:ascii="Times New Roman;Times;Serif" w:hAnsi="Times New Roman;Times;Serif"/>
          <w:b w:val="false"/>
          <w:i w:val="false"/>
          <w:caps w:val="false"/>
          <w:smallCaps w:val="false"/>
          <w:sz w:val="20"/>
        </w:rPr>
        <w:t xml:space="preserve">24,397) is recorded in other comprehensive income (loss) due to the change in credit spread from issuance to December 31, 2025, prior to tax adjustment. The portion of the total change in the fair value of the February 2025 Convertible Notes that is attributable to changes in the instrument-specific credit risk (the “credit component”) is estimated each reporting date. </w:t>
      </w:r>
      <w:bookmarkStart w:id="944" w:name="xdx_908_ecustom--FairValueMeasurementDes"/>
      <w:bookmarkEnd w:id="944"/>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(33.0%) then management re-measures fair value holding every assumption constant except for the credit spread, which is reset to the spread at the prior measurement date.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amortization payout. Accordingly, the valuation uses a range of level 3 inputs to evaluate each maturity payout individually. The range of level 3 inputs used on the issuance date and as of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5" w:name="xdx_8BE_zaob11Qjb5mc"/>
      <w:bookmarkStart w:id="946" w:name="xdx_89B_eus-gaap--FairValueAssetsAndLiab"/>
      <w:bookmarkEnd w:id="945"/>
      <w:bookmarkEnd w:id="946"/>
      <w:r>
        <w:rPr>
          <w:rFonts w:ascii="Times New Roman;Times;Serif" w:hAnsi="Times New Roman;Times;Serif"/>
          <w:b w:val="false"/>
          <w:i w:val="false"/>
          <w:caps w:val="false"/>
          <w:smallCaps w:val="false"/>
          <w:sz w:val="20"/>
        </w:rPr>
        <w:t>SCHEDULE OF FAIR VALUE THE RANGE OF LEVEL 3 INPUTS</w:t>
      </w:r>
    </w:p>
    <w:tbl>
      <w:tblPr>
        <w:tblW w:w="6539" w:type="dxa"/>
        <w:jc w:val="left"/>
        <w:tblInd w:w="0" w:type="dxa"/>
        <w:tblLayout w:type="fixed"/>
        <w:tblCellMar>
          <w:top w:w="0" w:type="dxa"/>
          <w:left w:w="0" w:type="dxa"/>
          <w:bottom w:w="0" w:type="dxa"/>
          <w:right w:w="0" w:type="dxa"/>
        </w:tblCellMar>
      </w:tblPr>
      <w:tblGrid>
        <w:gridCol w:w="2225"/>
        <w:gridCol w:w="60"/>
        <w:gridCol w:w="143"/>
        <w:gridCol w:w="1751"/>
        <w:gridCol w:w="215"/>
        <w:gridCol w:w="60"/>
        <w:gridCol w:w="140"/>
        <w:gridCol w:w="1715"/>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5" w:type="dxa"/>
            <w:gridSpan w:val="2"/>
            <w:tcBorders>
              <w:bottom w:val="single" w:sz="8" w:space="0" w:color="000000"/>
            </w:tcBorders>
            <w:tcMar>
              <w:bottom w:w="28" w:type="dxa"/>
            </w:tcMar>
            <w:vAlign w:val="center"/>
          </w:tcPr>
          <w:p>
            <w:pPr>
              <w:pStyle w:val="TableContents"/>
              <w:bidi w:val="0"/>
              <w:spacing w:before="0" w:after="283"/>
              <w:jc w:val="center"/>
              <w:rPr/>
            </w:pPr>
            <w:r>
              <w:rPr/>
              <w:t>February 21, 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bookmarkStart w:id="947" w:name="xdx_90D_eus-gaap--SharePrice_iI_pid_c202"/>
            <w:bookmarkEnd w:id="947"/>
            <w:r>
              <w:rPr/>
              <w:t>0.89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15" w:type="dxa"/>
            <w:tcBorders/>
            <w:shd w:fill="CCEEFF" w:val="clear"/>
            <w:vAlign w:val="center"/>
          </w:tcPr>
          <w:p>
            <w:pPr>
              <w:pStyle w:val="TableContents"/>
              <w:bidi w:val="0"/>
              <w:spacing w:before="0" w:after="283"/>
              <w:jc w:val="right"/>
              <w:rPr/>
            </w:pPr>
            <w:bookmarkStart w:id="948" w:name="xdx_90F_eus-gaap--SharePrice_iI_pid_c202"/>
            <w:bookmarkEnd w:id="948"/>
            <w:r>
              <w:rPr/>
              <w:t>2.09</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49" w:name="xdx_909_ecustom--VolumeWeightedAveragePr"/>
            <w:bookmarkEnd w:id="949"/>
            <w:r>
              <w:rPr>
                <w:rFonts w:ascii="Times New Roman;Times;Serif" w:hAnsi="Times New Roman;Times;Serif"/>
                <w:sz w:val="20"/>
              </w:rPr>
              <w:t>92% VWAP or $</w:t>
            </w:r>
            <w:bookmarkStart w:id="950" w:name="xdx_902_eus-gaap--ShareBasedCompensation"/>
            <w:bookmarkEnd w:id="950"/>
            <w:r>
              <w:rPr>
                <w:rFonts w:ascii="Times New Roman;Times;Serif" w:hAnsi="Times New Roman;Times;Serif"/>
                <w:sz w:val="20"/>
              </w:rPr>
              <w:t>5.00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51" w:name="xdx_900_ecustom--VolumeWeightedAveragePr"/>
            <w:bookmarkEnd w:id="951"/>
            <w:r>
              <w:rPr>
                <w:rFonts w:ascii="Times New Roman;Times;Serif" w:hAnsi="Times New Roman;Times;Serif"/>
                <w:sz w:val="20"/>
              </w:rPr>
              <w:t>92% VWAP or $</w:t>
            </w:r>
            <w:bookmarkStart w:id="952" w:name="xdx_903_eus-gaap--ShareBasedCompensation"/>
            <w:bookmarkEnd w:id="952"/>
            <w:r>
              <w:rPr>
                <w:rFonts w:ascii="Times New Roman;Times;Serif" w:hAnsi="Times New Roman;Times;Serif"/>
                <w:sz w:val="20"/>
              </w:rPr>
              <w:t>5.00</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953" w:name="xdx_907_eus-gaap--SharebasedCompensation"/>
            <w:bookmarkEnd w:id="953"/>
            <w:r>
              <w:rPr>
                <w:rFonts w:ascii="Times New Roman;Times;Serif" w:hAnsi="Times New Roman;Times;Serif"/>
                <w:sz w:val="20"/>
              </w:rPr>
              <w:t>0.06-</w:t>
            </w:r>
            <w:bookmarkStart w:id="954" w:name="xdx_90E_eus-gaap--SharebasedCompensation"/>
            <w:bookmarkEnd w:id="954"/>
            <w:r>
              <w:rPr>
                <w:rFonts w:ascii="Times New Roman;Times;Serif" w:hAnsi="Times New Roman;Times;Serif"/>
                <w:sz w:val="20"/>
              </w:rPr>
              <w:t>0.14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955" w:name="xdx_906_eus-gaap--SharebasedCompensation"/>
            <w:bookmarkEnd w:id="955"/>
            <w:r>
              <w:rPr>
                <w:rFonts w:ascii="Times New Roman;Times;Serif" w:hAnsi="Times New Roman;Times;Serif"/>
                <w:sz w:val="20"/>
              </w:rPr>
              <w:t>0.24-</w:t>
            </w:r>
            <w:bookmarkStart w:id="956" w:name="xdx_90E_eus-gaap--SharebasedCompensation"/>
            <w:bookmarkEnd w:id="956"/>
            <w:r>
              <w:rPr>
                <w:rFonts w:ascii="Times New Roman;Times;Serif" w:hAnsi="Times New Roman;Times;Serif"/>
                <w:sz w:val="20"/>
              </w:rPr>
              <w:t>1.00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57" w:name="xdx_902_eus-gaap--ShareBasedCompensation"/>
            <w:bookmarkEnd w:id="957"/>
            <w:r>
              <w:rPr>
                <w:rFonts w:ascii="Times New Roman;Times;Serif" w:hAnsi="Times New Roman;Times;Serif"/>
                <w:sz w:val="20"/>
              </w:rPr>
              <w:t xml:space="preserve">58.1% - </w:t>
            </w:r>
            <w:bookmarkStart w:id="958" w:name="xdx_90A_eus-gaap--ShareBasedCompensation"/>
            <w:bookmarkEnd w:id="958"/>
            <w:r>
              <w:rPr>
                <w:rFonts w:ascii="Times New Roman;Times;Serif" w:hAnsi="Times New Roman;Times;Serif"/>
                <w:sz w:val="20"/>
              </w:rPr>
              <w:t>61.1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59" w:name="xdx_90F_eus-gaap--ShareBasedCompensation"/>
            <w:bookmarkEnd w:id="959"/>
            <w:r>
              <w:rPr>
                <w:rFonts w:ascii="Times New Roman;Times;Serif" w:hAnsi="Times New Roman;Times;Serif"/>
                <w:sz w:val="20"/>
              </w:rPr>
              <w:t xml:space="preserve">117.0% - </w:t>
            </w:r>
            <w:bookmarkStart w:id="960" w:name="xdx_90B_eus-gaap--ShareBasedCompensation"/>
            <w:bookmarkEnd w:id="960"/>
            <w:r>
              <w:rPr>
                <w:rFonts w:ascii="Times New Roman;Times;Serif" w:hAnsi="Times New Roman;Times;Serif"/>
                <w:sz w:val="20"/>
              </w:rPr>
              <w:t>190.9</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961" w:name="xdx_901_eus-gaap--ShareBasedCompensation"/>
            <w:bookmarkEnd w:id="961"/>
            <w:r>
              <w:rPr>
                <w:rFonts w:ascii="Times New Roman;Times;Serif" w:hAnsi="Times New Roman;Times;Serif"/>
                <w:sz w:val="20"/>
              </w:rPr>
              <w:t xml:space="preserve">3.68% - </w:t>
            </w:r>
            <w:bookmarkStart w:id="962" w:name="xdx_901_eus-gaap--ShareBasedCompensation"/>
            <w:bookmarkEnd w:id="962"/>
            <w:r>
              <w:rPr>
                <w:rFonts w:ascii="Times New Roman;Times;Serif" w:hAnsi="Times New Roman;Times;Serif"/>
                <w:sz w:val="20"/>
              </w:rPr>
              <w:t>3.71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963" w:name="xdx_900_eus-gaap--ShareBasedCompensation"/>
            <w:bookmarkEnd w:id="963"/>
            <w:r>
              <w:rPr>
                <w:rFonts w:ascii="Times New Roman;Times;Serif" w:hAnsi="Times New Roman;Times;Serif"/>
                <w:sz w:val="20"/>
              </w:rPr>
              <w:t xml:space="preserve">4.11% - </w:t>
            </w:r>
            <w:bookmarkStart w:id="964" w:name="xdx_905_eus-gaap--ShareBasedCompensation"/>
            <w:bookmarkEnd w:id="964"/>
            <w:r>
              <w:rPr>
                <w:rFonts w:ascii="Times New Roman;Times;Serif" w:hAnsi="Times New Roman;Times;Serif"/>
                <w:sz w:val="20"/>
              </w:rPr>
              <w:t>4.29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965" w:name="xdx_8A1_zgafOvfWB1C"/>
      <w:bookmarkEnd w:id="9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October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pursuant to a SPA, the Company issued to one accredited investor convertible notes with an aggregate principal amount of $</w:t>
      </w:r>
      <w:bookmarkStart w:id="966" w:name="xdx_90D_eus-gaap--DebtInstrumentFaceAmou"/>
      <w:bookmarkEnd w:id="966"/>
      <w:r>
        <w:rPr>
          <w:rFonts w:ascii="Times New Roman;Times;Serif" w:hAnsi="Times New Roman;Times;Serif"/>
          <w:b w:val="false"/>
          <w:i w:val="false"/>
          <w:caps w:val="false"/>
          <w:smallCaps w:val="false"/>
          <w:sz w:val="20"/>
        </w:rPr>
        <w:t>2,200,000 (the “October 2025 Convertible Notes”) for gross proceeds of $</w:t>
      </w:r>
      <w:bookmarkStart w:id="967" w:name="xdx_902_eus-gaap--ProceedsFromConvertibl"/>
      <w:bookmarkEnd w:id="967"/>
      <w:r>
        <w:rPr>
          <w:rFonts w:ascii="Times New Roman;Times;Serif" w:hAnsi="Times New Roman;Times;Serif"/>
          <w:b w:val="false"/>
          <w:i w:val="false"/>
          <w:caps w:val="false"/>
          <w:smallCaps w:val="false"/>
          <w:sz w:val="20"/>
        </w:rPr>
        <w:t xml:space="preserve">2,000,000. The October 2025 Convertible Notes, which mature on October 24, 2026, carry an original issue discount of </w:t>
      </w:r>
      <w:bookmarkStart w:id="968" w:name="xdx_902_ecustom--DebtInstrumentOriginalI"/>
      <w:bookmarkEnd w:id="968"/>
      <w:r>
        <w:rPr>
          <w:rFonts w:ascii="Times New Roman;Times;Serif" w:hAnsi="Times New Roman;Times;Serif"/>
          <w:b w:val="false"/>
          <w:i w:val="false"/>
          <w:caps w:val="false"/>
          <w:smallCaps w:val="false"/>
          <w:sz w:val="20"/>
        </w:rPr>
        <w:t xml:space="preserve">10%, and are subject to a guaranteed interest equal to </w:t>
      </w:r>
      <w:bookmarkStart w:id="969" w:name="xdx_904_eus-gaap--DebtConversionOriginal"/>
      <w:bookmarkEnd w:id="969"/>
      <w:r>
        <w:rPr>
          <w:rFonts w:ascii="Times New Roman;Times;Serif" w:hAnsi="Times New Roman;Times;Serif"/>
          <w:b w:val="false"/>
          <w:i w:val="false"/>
          <w:caps w:val="false"/>
          <w:smallCaps w:val="false"/>
          <w:sz w:val="20"/>
        </w:rPr>
        <w:t>5% of the principal amount. The principal and interest charges are payable in 10 equal monthly payments starting January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October 2025 Convertible Notes can be converted at the option of the holder at any time into shares of the Company’s Class A common, at a conversion price of $</w:t>
      </w:r>
      <w:bookmarkStart w:id="970" w:name="xdx_902_eus-gaap--SharePrice_iI_pid_c202"/>
      <w:bookmarkEnd w:id="970"/>
      <w:r>
        <w:rPr>
          <w:rFonts w:ascii="Times New Roman;Times;Serif" w:hAnsi="Times New Roman;Times;Serif"/>
          <w:b w:val="false"/>
          <w:i w:val="false"/>
          <w:caps w:val="false"/>
          <w:smallCaps w:val="false"/>
          <w:sz w:val="20"/>
        </w:rPr>
        <w:t>5.00 per share, except that, for an aggregate of $</w:t>
      </w:r>
      <w:bookmarkStart w:id="971" w:name="xdx_900_eus-gaap--DebtConversionConverte"/>
      <w:bookmarkEnd w:id="971"/>
      <w:r>
        <w:rPr>
          <w:rFonts w:ascii="Times New Roman;Times;Serif" w:hAnsi="Times New Roman;Times;Serif"/>
          <w:b w:val="false"/>
          <w:i w:val="false"/>
          <w:caps w:val="false"/>
          <w:smallCaps w:val="false"/>
          <w:sz w:val="20"/>
        </w:rPr>
        <w:t xml:space="preserve">577,500 of </w:t>
      </w:r>
      <w:bookmarkStart w:id="972" w:name="xdx_909_eus-gaap--DebtConversionDescript"/>
      <w:bookmarkEnd w:id="972"/>
      <w:r>
        <w:rPr>
          <w:rFonts w:ascii="Times New Roman;Times;Serif" w:hAnsi="Times New Roman;Times;Serif"/>
          <w:b w:val="false"/>
          <w:i w:val="false"/>
          <w:caps w:val="false"/>
          <w:smallCaps w:val="false"/>
          <w:sz w:val="20"/>
        </w:rPr>
        <w:t>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 Accordingly, the number of shares issuable upon conversion of the October 2025 Convertible Notes was not fixed as of December 31, 2025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October 2025 Convertible Notes may be prepaid by the Company upon giving the Investors a ten-calendar day notice by paying an amount equal to the outstanding balance. </w:t>
      </w:r>
      <w:bookmarkStart w:id="973" w:name="xdx_904_eus-gaap--DebtInstrumentDescript"/>
      <w:bookmarkEnd w:id="973"/>
      <w:r>
        <w:rPr>
          <w:rFonts w:ascii="Times New Roman;Times;Serif" w:hAnsi="Times New Roman;Times;Serif"/>
          <w:b w:val="false"/>
          <w:i w:val="false"/>
          <w:caps w:val="false"/>
          <w:smallCaps w:val="false"/>
          <w:sz w:val="20"/>
        </w:rPr>
        <w:t>In event of default, the Investors may require the Company to prepay the October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October 2025 Convertible Notes to simplify the reporting. The October 2025 Convertible Notes were initially measured at fair value and are being re-measured at fair value at each subsequent reporting date. From the date of issuance through December 31, 2025, the change in fair value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4" w:name="xdx_8BD_zE0EGc7AD0yc"/>
      <w:bookmarkStart w:id="975" w:name="xdx_897_eus-gaap--ScheduleOfFairValueAss"/>
      <w:bookmarkEnd w:id="974"/>
      <w:bookmarkEnd w:id="975"/>
      <w:r>
        <w:rPr>
          <w:rFonts w:ascii="Times New Roman;Times;Serif" w:hAnsi="Times New Roman;Times;Serif"/>
          <w:b w:val="false"/>
          <w:i w:val="false"/>
          <w:caps w:val="false"/>
          <w:smallCaps w:val="false"/>
          <w:sz w:val="20"/>
        </w:rPr>
        <w:t>SCHEDULE OF CHANGE IN FAIR VALUE</w:t>
      </w:r>
    </w:p>
    <w:tbl>
      <w:tblPr>
        <w:tblW w:w="4395" w:type="dxa"/>
        <w:jc w:val="left"/>
        <w:tblInd w:w="0" w:type="dxa"/>
        <w:tblLayout w:type="fixed"/>
        <w:tblCellMar>
          <w:top w:w="0" w:type="dxa"/>
          <w:left w:w="0" w:type="dxa"/>
          <w:bottom w:w="0" w:type="dxa"/>
          <w:right w:w="0" w:type="dxa"/>
        </w:tblCellMar>
      </w:tblPr>
      <w:tblGrid>
        <w:gridCol w:w="3140"/>
        <w:gridCol w:w="60"/>
        <w:gridCol w:w="140"/>
        <w:gridCol w:w="980"/>
        <w:gridCol w:w="75"/>
      </w:tblGrid>
      <w:tr>
        <w:trPr/>
        <w:tc>
          <w:tcPr>
            <w:tcW w:w="3140" w:type="dxa"/>
            <w:tcBorders/>
            <w:shd w:fill="CCEEFF" w:val="clear"/>
            <w:vAlign w:val="center"/>
          </w:tcPr>
          <w:p>
            <w:pPr>
              <w:pStyle w:val="TableContents"/>
              <w:bidi w:val="0"/>
              <w:spacing w:before="0" w:after="283"/>
              <w:jc w:val="left"/>
              <w:rPr/>
            </w:pPr>
            <w:r>
              <w:rPr/>
              <w:t>Fair value, at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76" w:name="xdx_982_eus-gaap--ConvertibleDebtFairVal"/>
            <w:bookmarkEnd w:id="976"/>
          </w:p>
        </w:tc>
        <w:tc>
          <w:tcPr>
            <w:tcW w:w="980" w:type="dxa"/>
            <w:tcBorders/>
            <w:shd w:fill="CCEEFF" w:val="clear"/>
            <w:vAlign w:val="center"/>
          </w:tcPr>
          <w:p>
            <w:pPr>
              <w:pStyle w:val="TableContents"/>
              <w:bidi w:val="0"/>
              <w:spacing w:before="0" w:after="283"/>
              <w:jc w:val="right"/>
              <w:rPr/>
            </w:pPr>
            <w:r>
              <w:rPr/>
              <w:t>2,000,000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77" w:name="xdx_989_eus-gaap--RepaymentsOfConvertibl"/>
            <w:bookmarkEnd w:id="977"/>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8" w:name="xdx_981_ecustom--ConversionToCommonStock"/>
            <w:bookmarkEnd w:id="978"/>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9" w:name="xdx_987_eus-gaap--FairValueOptionChanges"/>
            <w:bookmarkEnd w:id="97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115,856</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80" w:name="xdx_983_eus-gaap--ConvertibleDebtFairVal"/>
            <w:bookmarkEnd w:id="98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2,115,856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1" w:name="xdx_8A0_zktkLZR2jYli"/>
      <w:bookmarkEnd w:id="9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in change in fair value of $</w:t>
      </w:r>
      <w:bookmarkStart w:id="982" w:name="xdx_906_eus-gaap--OtherIncome_c20250101_"/>
      <w:bookmarkEnd w:id="982"/>
      <w:r>
        <w:rPr>
          <w:rFonts w:ascii="Times New Roman;Times;Serif" w:hAnsi="Times New Roman;Times;Serif"/>
          <w:b w:val="false"/>
          <w:i w:val="false"/>
          <w:caps w:val="false"/>
          <w:smallCaps w:val="false"/>
          <w:sz w:val="20"/>
        </w:rPr>
        <w:t>118,900 is reported in other income in our consolidated statement of operations and comprehensive income (loss) and ($</w:t>
      </w:r>
      <w:bookmarkStart w:id="983" w:name="xdx_907_eus-gaap--PriorPeriodReclassific"/>
      <w:bookmarkEnd w:id="983"/>
      <w:r>
        <w:rPr>
          <w:rFonts w:ascii="Times New Roman;Times;Serif" w:hAnsi="Times New Roman;Times;Serif"/>
          <w:b w:val="false"/>
          <w:i w:val="false"/>
          <w:caps w:val="false"/>
          <w:smallCaps w:val="false"/>
          <w:sz w:val="20"/>
        </w:rPr>
        <w:t xml:space="preserve">3,044) is recorded in other comprehensive income (loss) due to the change in credit spread from issuance to December 31, 2025, prior to tax adjustment. The portion of the total change in the fair value of the October 2025 Convertible Notes that is attributable to changes in the Company’s own credit risk (the “credit component”) is estimated each reporting date using a </w:t>
      </w:r>
      <w:r>
        <w:rPr>
          <w:rFonts w:ascii="Times New Roman;Times;Serif" w:hAnsi="Times New Roman;Times;Serif"/>
          <w:b w:val="false"/>
          <w:i/>
          <w:caps w:val="false"/>
          <w:smallCaps w:val="false"/>
          <w:sz w:val="20"/>
        </w:rPr>
        <w:t>with-and-without</w:t>
      </w:r>
      <w:r>
        <w:rPr>
          <w:rFonts w:ascii="Times New Roman;Times;Serif" w:hAnsi="Times New Roman;Times;Serif"/>
          <w:b w:val="false"/>
          <w:i w:val="false"/>
          <w:caps w:val="false"/>
          <w:smallCaps w:val="false"/>
          <w:sz w:val="20"/>
        </w:rPr>
        <w:t xml:space="preserve"> approach. </w:t>
      </w:r>
      <w:bookmarkStart w:id="984" w:name="xdx_90E_ecustom--FairValueMeasurementDes"/>
      <w:bookmarkEnd w:id="984"/>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(33.0%) then management re-measures fair value holding every assumption constant except for the credit spread, which is reset to the spread calibrated on the issuance date (32.5%).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on the issuance date and as of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5" w:name="xdx_8B0_zZA0KhNvmLXl"/>
      <w:bookmarkStart w:id="986" w:name="xdx_895_eus-gaap--FairValueAssetsAndLiab"/>
      <w:bookmarkEnd w:id="985"/>
      <w:bookmarkEnd w:id="986"/>
      <w:r>
        <w:rPr>
          <w:rFonts w:ascii="Times New Roman;Times;Serif" w:hAnsi="Times New Roman;Times;Serif"/>
          <w:b w:val="false"/>
          <w:i w:val="false"/>
          <w:caps w:val="false"/>
          <w:smallCaps w:val="false"/>
          <w:sz w:val="20"/>
        </w:rPr>
        <w:t>SCHEDULE OF FAIR VALUE THE RANGE OF LEVEL 3 INPUTS</w:t>
      </w:r>
    </w:p>
    <w:tbl>
      <w:tblPr>
        <w:tblW w:w="6539" w:type="dxa"/>
        <w:jc w:val="left"/>
        <w:tblInd w:w="0" w:type="dxa"/>
        <w:tblLayout w:type="fixed"/>
        <w:tblCellMar>
          <w:top w:w="0" w:type="dxa"/>
          <w:left w:w="0" w:type="dxa"/>
          <w:bottom w:w="0" w:type="dxa"/>
          <w:right w:w="0" w:type="dxa"/>
        </w:tblCellMar>
      </w:tblPr>
      <w:tblGrid>
        <w:gridCol w:w="2225"/>
        <w:gridCol w:w="60"/>
        <w:gridCol w:w="143"/>
        <w:gridCol w:w="1751"/>
        <w:gridCol w:w="215"/>
        <w:gridCol w:w="60"/>
        <w:gridCol w:w="140"/>
        <w:gridCol w:w="1715"/>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5" w:type="dxa"/>
            <w:gridSpan w:val="2"/>
            <w:tcBorders>
              <w:bottom w:val="single" w:sz="8" w:space="0" w:color="000000"/>
            </w:tcBorders>
            <w:tcMar>
              <w:bottom w:w="28" w:type="dxa"/>
            </w:tcMar>
            <w:vAlign w:val="center"/>
          </w:tcPr>
          <w:p>
            <w:pPr>
              <w:pStyle w:val="TableContents"/>
              <w:bidi w:val="0"/>
              <w:spacing w:before="0" w:after="283"/>
              <w:jc w:val="center"/>
              <w:rPr/>
            </w:pPr>
            <w:r>
              <w:rPr/>
              <w:t>October 24, 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bookmarkStart w:id="987" w:name="xdx_901_eus-gaap--SharePrice_iI_pid_c202"/>
            <w:bookmarkEnd w:id="987"/>
            <w:r>
              <w:rPr/>
              <w:t>0.89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715" w:type="dxa"/>
            <w:tcBorders/>
            <w:shd w:fill="CCEEFF" w:val="clear"/>
            <w:vAlign w:val="center"/>
          </w:tcPr>
          <w:p>
            <w:pPr>
              <w:pStyle w:val="TableContents"/>
              <w:bidi w:val="0"/>
              <w:spacing w:before="0" w:after="283"/>
              <w:jc w:val="right"/>
              <w:rPr/>
            </w:pPr>
            <w:bookmarkStart w:id="988" w:name="xdx_90A_eus-gaap--SharePrice_iI_pid_c202"/>
            <w:bookmarkEnd w:id="988"/>
            <w:r>
              <w:rPr/>
              <w:t>1.03</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89" w:name="xdx_901_ecustom--VolumeWeightedAveragePr"/>
            <w:bookmarkEnd w:id="989"/>
            <w:r>
              <w:rPr>
                <w:rFonts w:ascii="Times New Roman;Times;Serif" w:hAnsi="Times New Roman;Times;Serif"/>
                <w:sz w:val="20"/>
              </w:rPr>
              <w:t>92% VWAP or $</w:t>
            </w:r>
            <w:bookmarkStart w:id="990" w:name="xdx_901_eus-gaap--ShareBasedCompensation"/>
            <w:bookmarkEnd w:id="990"/>
            <w:r>
              <w:rPr>
                <w:rFonts w:ascii="Times New Roman;Times;Serif" w:hAnsi="Times New Roman;Times;Serif"/>
                <w:sz w:val="20"/>
              </w:rPr>
              <w:t>5.00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91" w:name="xdx_90F_ecustom--VolumeWeightedAveragePr"/>
            <w:bookmarkEnd w:id="991"/>
            <w:r>
              <w:rPr>
                <w:rFonts w:ascii="Times New Roman;Times;Serif" w:hAnsi="Times New Roman;Times;Serif"/>
                <w:sz w:val="20"/>
              </w:rPr>
              <w:t>92% VWAP or $</w:t>
            </w:r>
            <w:bookmarkStart w:id="992" w:name="xdx_907_eus-gaap--ShareBasedCompensation"/>
            <w:bookmarkEnd w:id="992"/>
            <w:r>
              <w:rPr>
                <w:rFonts w:ascii="Times New Roman;Times;Serif" w:hAnsi="Times New Roman;Times;Serif"/>
                <w:sz w:val="20"/>
              </w:rPr>
              <w:t>5.00</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993" w:name="xdx_90D_eus-gaap--SharebasedCompensation"/>
            <w:bookmarkEnd w:id="993"/>
            <w:r>
              <w:rPr>
                <w:rFonts w:ascii="Times New Roman;Times;Serif" w:hAnsi="Times New Roman;Times;Serif"/>
                <w:sz w:val="20"/>
              </w:rPr>
              <w:t>0.07-</w:t>
            </w:r>
            <w:bookmarkStart w:id="994" w:name="xdx_908_eus-gaap--SharebasedCompensation"/>
            <w:bookmarkEnd w:id="994"/>
            <w:r>
              <w:rPr>
                <w:rFonts w:ascii="Times New Roman;Times;Serif" w:hAnsi="Times New Roman;Times;Serif"/>
                <w:sz w:val="20"/>
              </w:rPr>
              <w:t>0.81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995" w:name="xdx_90F_eus-gaap--SharebasedCompensation"/>
            <w:bookmarkEnd w:id="995"/>
            <w:r>
              <w:rPr>
                <w:rFonts w:ascii="Times New Roman;Times;Serif" w:hAnsi="Times New Roman;Times;Serif"/>
                <w:sz w:val="20"/>
              </w:rPr>
              <w:t>0.25-</w:t>
            </w:r>
            <w:bookmarkStart w:id="996" w:name="xdx_900_eus-gaap--SharebasedCompensation"/>
            <w:bookmarkEnd w:id="996"/>
            <w:r>
              <w:rPr>
                <w:rFonts w:ascii="Times New Roman;Times;Serif" w:hAnsi="Times New Roman;Times;Serif"/>
                <w:sz w:val="20"/>
              </w:rPr>
              <w:t>1.00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997" w:name="xdx_905_eus-gaap--ShareBasedCompensation"/>
            <w:bookmarkEnd w:id="997"/>
            <w:r>
              <w:rPr>
                <w:rFonts w:ascii="Times New Roman;Times;Serif" w:hAnsi="Times New Roman;Times;Serif"/>
                <w:sz w:val="20"/>
              </w:rPr>
              <w:t xml:space="preserve">59.0% - </w:t>
            </w:r>
            <w:bookmarkStart w:id="998" w:name="xdx_908_eus-gaap--ShareBasedCompensation"/>
            <w:bookmarkEnd w:id="998"/>
            <w:r>
              <w:rPr>
                <w:rFonts w:ascii="Times New Roman;Times;Serif" w:hAnsi="Times New Roman;Times;Serif"/>
                <w:sz w:val="20"/>
              </w:rPr>
              <w:t>94.2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rFonts w:ascii="Times New Roman;Times;Serif" w:hAnsi="Times New Roman;Times;Serif"/>
                <w:sz w:val="20"/>
              </w:rPr>
            </w:pPr>
            <w:bookmarkStart w:id="999" w:name="xdx_909_eus-gaap--ShareBasedCompensation"/>
            <w:bookmarkEnd w:id="999"/>
            <w:r>
              <w:rPr>
                <w:rFonts w:ascii="Times New Roman;Times;Serif" w:hAnsi="Times New Roman;Times;Serif"/>
                <w:sz w:val="20"/>
              </w:rPr>
              <w:t xml:space="preserve">78.1% - </w:t>
            </w:r>
            <w:bookmarkStart w:id="1000" w:name="xdx_901_eus-gaap--ShareBasedCompensation"/>
            <w:bookmarkEnd w:id="1000"/>
            <w:r>
              <w:rPr>
                <w:rFonts w:ascii="Times New Roman;Times;Serif" w:hAnsi="Times New Roman;Times;Serif"/>
                <w:sz w:val="20"/>
              </w:rPr>
              <w:t>126.9</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1001" w:name="xdx_907_eus-gaap--ShareBasedCompensation"/>
            <w:bookmarkEnd w:id="1001"/>
            <w:r>
              <w:rPr>
                <w:rFonts w:ascii="Times New Roman;Times;Serif" w:hAnsi="Times New Roman;Times;Serif"/>
                <w:sz w:val="20"/>
              </w:rPr>
              <w:t xml:space="preserve">3.49% - </w:t>
            </w:r>
            <w:bookmarkStart w:id="1002" w:name="xdx_906_eus-gaap--ShareBasedCompensation"/>
            <w:bookmarkEnd w:id="1002"/>
            <w:r>
              <w:rPr>
                <w:rFonts w:ascii="Times New Roman;Times;Serif" w:hAnsi="Times New Roman;Times;Serif"/>
                <w:sz w:val="20"/>
              </w:rPr>
              <w:t>3.71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rFonts w:ascii="Times New Roman;Times;Serif" w:hAnsi="Times New Roman;Times;Serif"/>
                <w:sz w:val="20"/>
              </w:rPr>
            </w:pPr>
            <w:bookmarkStart w:id="1003" w:name="xdx_903_eus-gaap--ShareBasedCompensation"/>
            <w:bookmarkEnd w:id="1003"/>
            <w:r>
              <w:rPr>
                <w:rFonts w:ascii="Times New Roman;Times;Serif" w:hAnsi="Times New Roman;Times;Serif"/>
                <w:sz w:val="20"/>
              </w:rPr>
              <w:t xml:space="preserve">3.55% - </w:t>
            </w:r>
            <w:bookmarkStart w:id="1004" w:name="xdx_907_eus-gaap--ShareBasedCompensation"/>
            <w:bookmarkEnd w:id="1004"/>
            <w:r>
              <w:rPr>
                <w:rFonts w:ascii="Times New Roman;Times;Serif" w:hAnsi="Times New Roman;Times;Serif"/>
                <w:sz w:val="20"/>
              </w:rPr>
              <w:t>3.89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05" w:name="xdx_8A3_ze1uR354N5gc"/>
      <w:bookmarkEnd w:id="10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pursuant to a SPA, the Company issued to one accredited investor convertible notes with an aggregate principal amount of $</w:t>
      </w:r>
      <w:bookmarkStart w:id="1006" w:name="xdx_90A_eus-gaap--DebtInstrumentFaceAmou"/>
      <w:bookmarkEnd w:id="1006"/>
      <w:r>
        <w:rPr>
          <w:rFonts w:ascii="Times New Roman;Times;Serif" w:hAnsi="Times New Roman;Times;Serif"/>
          <w:b w:val="false"/>
          <w:i w:val="false"/>
          <w:caps w:val="false"/>
          <w:smallCaps w:val="false"/>
          <w:sz w:val="20"/>
        </w:rPr>
        <w:t>1,100,000 (the “November 2025 Convertible Notes”) for gross proceeds of $</w:t>
      </w:r>
      <w:bookmarkStart w:id="1007" w:name="xdx_90C_eus-gaap--ProceedsFromConvertibl"/>
      <w:bookmarkEnd w:id="1007"/>
      <w:r>
        <w:rPr>
          <w:rFonts w:ascii="Times New Roman;Times;Serif" w:hAnsi="Times New Roman;Times;Serif"/>
          <w:b w:val="false"/>
          <w:i w:val="false"/>
          <w:caps w:val="false"/>
          <w:smallCaps w:val="false"/>
          <w:sz w:val="20"/>
        </w:rPr>
        <w:t xml:space="preserve">1,000,000. The November 2025 Convertible Notes, which mature on November 26, 2026, carry an original issue discount of </w:t>
      </w:r>
      <w:bookmarkStart w:id="1008" w:name="xdx_906_ecustom--DebtInstrumentOriginalI"/>
      <w:bookmarkEnd w:id="1008"/>
      <w:r>
        <w:rPr>
          <w:rFonts w:ascii="Times New Roman;Times;Serif" w:hAnsi="Times New Roman;Times;Serif"/>
          <w:b w:val="false"/>
          <w:i w:val="false"/>
          <w:caps w:val="false"/>
          <w:smallCaps w:val="false"/>
          <w:sz w:val="20"/>
        </w:rPr>
        <w:t xml:space="preserve">10%, and are subject to a guaranteed interest equal to </w:t>
      </w:r>
      <w:bookmarkStart w:id="1009" w:name="xdx_902_eus-gaap--DebtConversionOriginal"/>
      <w:bookmarkEnd w:id="1009"/>
      <w:r>
        <w:rPr>
          <w:rFonts w:ascii="Times New Roman;Times;Serif" w:hAnsi="Times New Roman;Times;Serif"/>
          <w:b w:val="false"/>
          <w:i w:val="false"/>
          <w:caps w:val="false"/>
          <w:smallCaps w:val="false"/>
          <w:sz w:val="20"/>
        </w:rPr>
        <w:t>5% of the principal amount. The principal and interest charges are payable in 10 equal monthly payments starting February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all or portion of the then outstanding and unpaid principal and interest (the “conversion amount”) of the November 2025 Convertible Notes can be converted at the option of the holder at any time into shares of the Company’s Class A common, at a conversion price of $</w:t>
      </w:r>
      <w:bookmarkStart w:id="1010" w:name="xdx_900_eus-gaap--SharePrice_iI_pid_c202"/>
      <w:bookmarkEnd w:id="1010"/>
      <w:r>
        <w:rPr>
          <w:rFonts w:ascii="Times New Roman;Times;Serif" w:hAnsi="Times New Roman;Times;Serif"/>
          <w:b w:val="false"/>
          <w:i w:val="false"/>
          <w:caps w:val="false"/>
          <w:smallCaps w:val="false"/>
          <w:sz w:val="20"/>
        </w:rPr>
        <w:t>5.00 per share, except that, for an aggregate of $</w:t>
      </w:r>
      <w:bookmarkStart w:id="1011" w:name="xdx_90C_eus-gaap--DebtConversionConverte"/>
      <w:bookmarkEnd w:id="1011"/>
      <w:r>
        <w:rPr>
          <w:rFonts w:ascii="Times New Roman;Times;Serif" w:hAnsi="Times New Roman;Times;Serif"/>
          <w:b w:val="false"/>
          <w:i w:val="false"/>
          <w:caps w:val="false"/>
          <w:smallCaps w:val="false"/>
          <w:sz w:val="20"/>
        </w:rPr>
        <w:t xml:space="preserve">288,750 of </w:t>
      </w:r>
      <w:bookmarkStart w:id="1012" w:name="xdx_902_eus-gaap--DebtConversionDescript"/>
      <w:bookmarkEnd w:id="1012"/>
      <w:r>
        <w:rPr>
          <w:rFonts w:ascii="Times New Roman;Times;Serif" w:hAnsi="Times New Roman;Times;Serif"/>
          <w:b w:val="false"/>
          <w:i w:val="false"/>
          <w:caps w:val="false"/>
          <w:smallCaps w:val="false"/>
          <w:sz w:val="20"/>
        </w:rPr>
        <w:t>the conversion amount, the conversion price is equal to the lesser of $5.00 per share or 92% of the lowest daily volume weighted average price (“VWAP”) of the Class A common stock during the 5 trading days period prior the receipt of the notice of conversion (the “Market Price”). The conversion price may be adjusted for certain customary dilutive events. Accordingly, the number of shares issuable upon conversion of the November 2025 Convertible Notes was not fixed as of December 31, 2025 and depended on (i) the amount of principal and interest outstanding at the conversion date and (ii) for the portion of the conversion amount subject to a Market Price-based conversion feature, the market price of the Company’s Class A common stock on the applicable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2025 Convertible Notes may be prepaid by the Company upon giving the Investors a ten-calendar day notice by paying an amount equal to the outstanding balance. </w:t>
      </w:r>
      <w:bookmarkStart w:id="1013" w:name="xdx_904_eus-gaap--DebtInstrumentDescript"/>
      <w:bookmarkEnd w:id="1013"/>
      <w:r>
        <w:rPr>
          <w:rFonts w:ascii="Times New Roman;Times;Serif" w:hAnsi="Times New Roman;Times;Serif"/>
          <w:b w:val="false"/>
          <w:i w:val="false"/>
          <w:caps w:val="false"/>
          <w:smallCaps w:val="false"/>
          <w:sz w:val="20"/>
        </w:rPr>
        <w:t>In event of default the Investors may require the Company to prepay the November 2025 Convertible Notes at a 120% premium and have the option to convert any amount then outstanding into shares of Common Stock at the lesser of the then applicable conversion price or the Market Price. If the Company fails to make the monthly payment, the Noteholders have the right to convert the amount of the monthly payment into shares of Common Stock at the lesser of the then applicable Conversion Price or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include multiple features that would require bifurcation, analysis and to be revalued at each reporting date. Accordingly, the Company has elected to apply the fair value option to the November 2025 Convertible Notes to simplify the reporting. The November 2025 Convertible Notes were initially measured at fair value and are being re-measured at fair value at each subsequent reporting date. From the date of issuance through December 31, 2025, the change in fair value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4" w:name="xdx_8B3_zAA0EagBbBve"/>
      <w:bookmarkStart w:id="1015" w:name="xdx_894_eus-gaap--ScheduleOfFairValueAss"/>
      <w:bookmarkEnd w:id="1014"/>
      <w:bookmarkEnd w:id="1015"/>
      <w:r>
        <w:rPr>
          <w:rFonts w:ascii="Times New Roman;Times;Serif" w:hAnsi="Times New Roman;Times;Serif"/>
          <w:b w:val="false"/>
          <w:i w:val="false"/>
          <w:caps w:val="false"/>
          <w:smallCaps w:val="false"/>
          <w:sz w:val="20"/>
        </w:rPr>
        <w:t>SCHEDULE OF CHANGE IN FAIR VALUE</w:t>
      </w:r>
    </w:p>
    <w:tbl>
      <w:tblPr>
        <w:tblW w:w="4395" w:type="dxa"/>
        <w:jc w:val="left"/>
        <w:tblInd w:w="0" w:type="dxa"/>
        <w:tblLayout w:type="fixed"/>
        <w:tblCellMar>
          <w:top w:w="0" w:type="dxa"/>
          <w:left w:w="0" w:type="dxa"/>
          <w:bottom w:w="0" w:type="dxa"/>
          <w:right w:w="0" w:type="dxa"/>
        </w:tblCellMar>
      </w:tblPr>
      <w:tblGrid>
        <w:gridCol w:w="3140"/>
        <w:gridCol w:w="60"/>
        <w:gridCol w:w="140"/>
        <w:gridCol w:w="980"/>
        <w:gridCol w:w="75"/>
      </w:tblGrid>
      <w:tr>
        <w:trPr/>
        <w:tc>
          <w:tcPr>
            <w:tcW w:w="3140" w:type="dxa"/>
            <w:tcBorders/>
            <w:shd w:fill="CCEEFF" w:val="clear"/>
            <w:vAlign w:val="center"/>
          </w:tcPr>
          <w:p>
            <w:pPr>
              <w:pStyle w:val="TableContents"/>
              <w:bidi w:val="0"/>
              <w:spacing w:before="0" w:after="283"/>
              <w:jc w:val="left"/>
              <w:rPr/>
            </w:pPr>
            <w:r>
              <w:rPr/>
              <w:t>Fair value, at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016" w:name="xdx_980_eus-gaap--ConvertibleDebtFairVal"/>
            <w:bookmarkEnd w:id="1016"/>
          </w:p>
        </w:tc>
        <w:tc>
          <w:tcPr>
            <w:tcW w:w="98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Principal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17" w:name="xdx_98D_eus-gaap--RepaymentsOfConvertibl"/>
            <w:bookmarkEnd w:id="1017"/>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Conversion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18" w:name="xdx_989_ecustom--ConversionToCommonStock"/>
            <w:bookmarkEnd w:id="1018"/>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19" w:name="xdx_983_eus-gaap--FairValueOptionChanges"/>
            <w:bookmarkEnd w:id="101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35,323</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20" w:name="xdx_98D_eus-gaap--ConvertibleDebtFairVal"/>
            <w:bookmarkEnd w:id="102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1,035,323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1" w:name="xdx_8A2_zs5YuMJQDSSk"/>
      <w:bookmarkEnd w:id="10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in change in fair value of $</w:t>
      </w:r>
      <w:bookmarkStart w:id="1022" w:name="xdx_900_eus-gaap--OtherIncome_c20250101_"/>
      <w:bookmarkEnd w:id="1022"/>
      <w:r>
        <w:rPr>
          <w:rFonts w:ascii="Times New Roman;Times;Serif" w:hAnsi="Times New Roman;Times;Serif"/>
          <w:b w:val="false"/>
          <w:i w:val="false"/>
          <w:caps w:val="false"/>
          <w:smallCaps w:val="false"/>
          <w:sz w:val="20"/>
        </w:rPr>
        <w:t xml:space="preserve">35,323 is reported in other income in our consolidated statement of operations and comprehensive income (loss) as of December 31, 2025. </w:t>
      </w:r>
      <w:bookmarkStart w:id="1023" w:name="xdx_905_ecustom--FairValueMeasurementDes"/>
      <w:bookmarkEnd w:id="1023"/>
      <w:r>
        <w:rPr>
          <w:rFonts w:ascii="Times New Roman;Times;Serif" w:hAnsi="Times New Roman;Times;Serif"/>
          <w:b w:val="false"/>
          <w:i w:val="false"/>
          <w:caps w:val="false"/>
          <w:smallCaps w:val="false"/>
          <w:sz w:val="20"/>
        </w:rPr>
        <w:t>Management first measures fair value using all updated valuation inputs, including the credit spread implied by current market data (32.0%) then management re-measures fair value holding every assumption constant except for the credit spread, which is reset to the spread calibrated on the issuance date (31.2%). The difference between the two fair-value estimates isolates the effect of instrument-specific credit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binomial lattice framework to determine the fair value of each maturity payout. Accordingly, the valuation uses a range of level 3 inputs to evaluate each maturity payout individually. The range of level 3 inputs used on the issuance date and as of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4" w:name="xdx_8BF_zy61eo8jAkJ8"/>
      <w:bookmarkStart w:id="1025" w:name="xdx_898_eus-gaap--FairValueAssetsAndLiab"/>
      <w:bookmarkEnd w:id="1024"/>
      <w:bookmarkEnd w:id="1025"/>
      <w:r>
        <w:rPr>
          <w:rFonts w:ascii="Times New Roman;Times;Serif" w:hAnsi="Times New Roman;Times;Serif"/>
          <w:b w:val="false"/>
          <w:i w:val="false"/>
          <w:caps w:val="false"/>
          <w:smallCaps w:val="false"/>
          <w:sz w:val="20"/>
        </w:rPr>
        <w:t>SCHEDULE OF FAIR VALUE THE RANGE OF LEVEL 3 INPUTS</w:t>
      </w:r>
    </w:p>
    <w:tbl>
      <w:tblPr>
        <w:tblW w:w="6548" w:type="dxa"/>
        <w:jc w:val="left"/>
        <w:tblInd w:w="0" w:type="dxa"/>
        <w:tblLayout w:type="fixed"/>
        <w:tblCellMar>
          <w:top w:w="0" w:type="dxa"/>
          <w:left w:w="0" w:type="dxa"/>
          <w:bottom w:w="0" w:type="dxa"/>
          <w:right w:w="0" w:type="dxa"/>
        </w:tblCellMar>
      </w:tblPr>
      <w:tblGrid>
        <w:gridCol w:w="2225"/>
        <w:gridCol w:w="60"/>
        <w:gridCol w:w="143"/>
        <w:gridCol w:w="1751"/>
        <w:gridCol w:w="215"/>
        <w:gridCol w:w="145"/>
        <w:gridCol w:w="1779"/>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pPr>
            <w:r>
              <w:rPr/>
              <w:t>November 24, 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bookmarkStart w:id="1026" w:name="xdx_902_eus-gaap--SharePrice_iI_pid_c202"/>
            <w:bookmarkEnd w:id="1026"/>
            <w:r>
              <w:rPr/>
              <w:t>0.89</w:t>
            </w:r>
          </w:p>
        </w:tc>
        <w:tc>
          <w:tcPr>
            <w:tcW w:w="21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bookmarkStart w:id="1027" w:name="xdx_90A_eus-gaap--SharePrice_iI_pid_c202"/>
            <w:bookmarkEnd w:id="1027"/>
            <w:r>
              <w:rPr/>
              <w:t>0.88</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1028" w:name="xdx_906_ecustom--VolumeWeightedAveragePr"/>
            <w:bookmarkEnd w:id="1028"/>
            <w:r>
              <w:rPr>
                <w:rFonts w:ascii="Times New Roman;Times;Serif" w:hAnsi="Times New Roman;Times;Serif"/>
                <w:sz w:val="20"/>
              </w:rPr>
              <w:t>92% VWAP or $</w:t>
            </w:r>
            <w:bookmarkStart w:id="1029" w:name="xdx_90A_eus-gaap--ShareBasedCompensation"/>
            <w:bookmarkEnd w:id="1029"/>
            <w:r>
              <w:rPr>
                <w:rFonts w:ascii="Times New Roman;Times;Serif" w:hAnsi="Times New Roman;Times;Serif"/>
                <w:sz w:val="20"/>
              </w:rPr>
              <w:t>5.00</w:t>
            </w:r>
          </w:p>
        </w:tc>
        <w:tc>
          <w:tcPr>
            <w:tcW w:w="21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rFonts w:ascii="Times New Roman;Times;Serif" w:hAnsi="Times New Roman;Times;Serif"/>
                <w:sz w:val="20"/>
              </w:rPr>
            </w:pPr>
            <w:bookmarkStart w:id="1030" w:name="xdx_90E_ecustom--VolumeWeightedAveragePr"/>
            <w:bookmarkEnd w:id="1030"/>
            <w:r>
              <w:rPr>
                <w:rFonts w:ascii="Times New Roman;Times;Serif" w:hAnsi="Times New Roman;Times;Serif"/>
                <w:sz w:val="20"/>
              </w:rPr>
              <w:t>92% VWAP or $</w:t>
            </w:r>
            <w:bookmarkStart w:id="1031" w:name="xdx_90C_eus-gaap--ShareBasedCompensation"/>
            <w:bookmarkEnd w:id="1031"/>
            <w:r>
              <w:rPr>
                <w:rFonts w:ascii="Times New Roman;Times;Serif" w:hAnsi="Times New Roman;Times;Serif"/>
                <w:sz w:val="20"/>
              </w:rPr>
              <w:t>5.00</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Contractual term (year)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1032" w:name="xdx_902_eus-gaap--SharebasedCompensation"/>
            <w:bookmarkEnd w:id="1032"/>
            <w:r>
              <w:rPr>
                <w:rFonts w:ascii="Times New Roman;Times;Serif" w:hAnsi="Times New Roman;Times;Serif"/>
                <w:sz w:val="20"/>
              </w:rPr>
              <w:t>0.16-</w:t>
            </w:r>
            <w:bookmarkStart w:id="1033" w:name="xdx_90F_eus-gaap--SharebasedCompensation"/>
            <w:bookmarkEnd w:id="1033"/>
            <w:r>
              <w:rPr>
                <w:rFonts w:ascii="Times New Roman;Times;Serif" w:hAnsi="Times New Roman;Times;Serif"/>
                <w:sz w:val="20"/>
              </w:rPr>
              <w:t>0.90</w:t>
            </w:r>
          </w:p>
        </w:tc>
        <w:tc>
          <w:tcPr>
            <w:tcW w:w="21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rFonts w:ascii="Times New Roman;Times;Serif" w:hAnsi="Times New Roman;Times;Serif"/>
                <w:sz w:val="20"/>
              </w:rPr>
            </w:pPr>
            <w:bookmarkStart w:id="1034" w:name="xdx_90A_eus-gaap--SharebasedCompensation"/>
            <w:bookmarkEnd w:id="1034"/>
            <w:r>
              <w:rPr>
                <w:rFonts w:ascii="Times New Roman;Times;Serif" w:hAnsi="Times New Roman;Times;Serif"/>
                <w:sz w:val="20"/>
              </w:rPr>
              <w:t>0.25-</w:t>
            </w:r>
            <w:bookmarkStart w:id="1035" w:name="xdx_909_eus-gaap--SharebasedCompensation"/>
            <w:bookmarkEnd w:id="1035"/>
            <w:r>
              <w:rPr>
                <w:rFonts w:ascii="Times New Roman;Times;Serif" w:hAnsi="Times New Roman;Times;Serif"/>
                <w:sz w:val="20"/>
              </w:rPr>
              <w:t>1.00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rFonts w:ascii="Times New Roman;Times;Serif" w:hAnsi="Times New Roman;Times;Serif"/>
                <w:sz w:val="20"/>
              </w:rPr>
            </w:pPr>
            <w:bookmarkStart w:id="1036" w:name="xdx_904_eus-gaap--ShareBasedCompensation"/>
            <w:bookmarkEnd w:id="1036"/>
            <w:r>
              <w:rPr>
                <w:rFonts w:ascii="Times New Roman;Times;Serif" w:hAnsi="Times New Roman;Times;Serif"/>
                <w:sz w:val="20"/>
              </w:rPr>
              <w:t xml:space="preserve">58.1% - </w:t>
            </w:r>
            <w:bookmarkStart w:id="1037" w:name="xdx_907_eus-gaap--ShareBasedCompensation"/>
            <w:bookmarkEnd w:id="1037"/>
            <w:r>
              <w:rPr>
                <w:rFonts w:ascii="Times New Roman;Times;Serif" w:hAnsi="Times New Roman;Times;Serif"/>
                <w:sz w:val="20"/>
              </w:rPr>
              <w:t>97.3</w:t>
            </w:r>
          </w:p>
        </w:tc>
        <w:tc>
          <w:tcPr>
            <w:tcW w:w="215" w:type="dxa"/>
            <w:tcBorders/>
            <w:shd w:fill="FFFFFF" w:val="clear"/>
            <w:vAlign w:val="center"/>
          </w:tcPr>
          <w:p>
            <w:pPr>
              <w:pStyle w:val="TableContents"/>
              <w:bidi w:val="0"/>
              <w:spacing w:before="0" w:after="283"/>
              <w:jc w:val="left"/>
              <w:rPr/>
            </w:pPr>
            <w:r>
              <w:rPr/>
              <w:t>%</w:t>
            </w:r>
          </w:p>
        </w:tc>
        <w:tc>
          <w:tcPr>
            <w:tcW w:w="145"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right"/>
              <w:rPr>
                <w:rFonts w:ascii="Times New Roman;Times;Serif" w:hAnsi="Times New Roman;Times;Serif"/>
                <w:sz w:val="20"/>
              </w:rPr>
            </w:pPr>
            <w:bookmarkStart w:id="1038" w:name="xdx_905_eus-gaap--ShareBasedCompensation"/>
            <w:bookmarkEnd w:id="1038"/>
            <w:r>
              <w:rPr>
                <w:rFonts w:ascii="Times New Roman;Times;Serif" w:hAnsi="Times New Roman;Times;Serif"/>
                <w:sz w:val="20"/>
              </w:rPr>
              <w:t xml:space="preserve">76.7% - </w:t>
            </w:r>
            <w:bookmarkStart w:id="1039" w:name="xdx_90E_eus-gaap--ShareBasedCompensation"/>
            <w:bookmarkEnd w:id="1039"/>
            <w:r>
              <w:rPr>
                <w:rFonts w:ascii="Times New Roman;Times;Serif" w:hAnsi="Times New Roman;Times;Serif"/>
                <w:sz w:val="20"/>
              </w:rPr>
              <w:t>123.2</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sz w:val="20"/>
              </w:rPr>
            </w:pPr>
            <w:bookmarkStart w:id="1040" w:name="xdx_90C_eus-gaap--ShareBasedCompensation"/>
            <w:bookmarkEnd w:id="1040"/>
            <w:r>
              <w:rPr>
                <w:rFonts w:ascii="Times New Roman;Times;Serif" w:hAnsi="Times New Roman;Times;Serif"/>
                <w:sz w:val="20"/>
              </w:rPr>
              <w:t xml:space="preserve">3.47% - </w:t>
            </w:r>
            <w:bookmarkStart w:id="1041" w:name="xdx_908_eus-gaap--ShareBasedCompensation"/>
            <w:bookmarkEnd w:id="1041"/>
            <w:r>
              <w:rPr>
                <w:rFonts w:ascii="Times New Roman;Times;Serif" w:hAnsi="Times New Roman;Times;Serif"/>
                <w:sz w:val="20"/>
              </w:rPr>
              <w:t>3.66</w:t>
            </w:r>
          </w:p>
        </w:tc>
        <w:tc>
          <w:tcPr>
            <w:tcW w:w="215" w:type="dxa"/>
            <w:tcBorders/>
            <w:shd w:fill="CCEEFF" w:val="clear"/>
            <w:vAlign w:val="center"/>
          </w:tcPr>
          <w:p>
            <w:pPr>
              <w:pStyle w:val="TableContents"/>
              <w:bidi w:val="0"/>
              <w:spacing w:before="0" w:after="283"/>
              <w:jc w:val="left"/>
              <w:rPr/>
            </w:pPr>
            <w:r>
              <w:rPr/>
              <w:t>%</w:t>
            </w:r>
          </w:p>
        </w:tc>
        <w:tc>
          <w:tcPr>
            <w:tcW w:w="145"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rFonts w:ascii="Times New Roman;Times;Serif" w:hAnsi="Times New Roman;Times;Serif"/>
                <w:sz w:val="20"/>
              </w:rPr>
            </w:pPr>
            <w:bookmarkStart w:id="1042" w:name="xdx_907_eus-gaap--ShareBasedCompensation"/>
            <w:bookmarkEnd w:id="1042"/>
            <w:r>
              <w:rPr>
                <w:rFonts w:ascii="Times New Roman;Times;Serif" w:hAnsi="Times New Roman;Times;Serif"/>
                <w:sz w:val="20"/>
              </w:rPr>
              <w:t xml:space="preserve">3.58% - </w:t>
            </w:r>
            <w:bookmarkStart w:id="1043" w:name="xdx_906_eus-gaap--ShareBasedCompensation"/>
            <w:bookmarkEnd w:id="1043"/>
            <w:r>
              <w:rPr>
                <w:rFonts w:ascii="Times New Roman;Times;Serif" w:hAnsi="Times New Roman;Times;Serif"/>
                <w:sz w:val="20"/>
              </w:rPr>
              <w:t>3.88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44" w:name="xdx_8A8_zanGerqpaIF7"/>
      <w:bookmarkEnd w:id="10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2023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pursuant to a securities purchase agreement, the Company issued to two accredited investors (the convertible debt “Investors”) convertible notes with an aggregate principal amount of $</w:t>
      </w:r>
      <w:bookmarkStart w:id="1045" w:name="xdx_909_eus-gaap--DebtInstrumentFaceAmou"/>
      <w:bookmarkEnd w:id="1045"/>
      <w:r>
        <w:rPr>
          <w:rFonts w:ascii="Times New Roman;Times;Serif" w:hAnsi="Times New Roman;Times;Serif"/>
          <w:b w:val="false"/>
          <w:i w:val="false"/>
          <w:caps w:val="false"/>
          <w:smallCaps w:val="false"/>
          <w:sz w:val="20"/>
        </w:rPr>
        <w:t xml:space="preserve">1,080,000 (the “2023 Convertible Notes”) and warrants to purchase up to an aggregate of </w:t>
      </w:r>
      <w:bookmarkStart w:id="1046" w:name="xdx_906_eus-gaap--ClassOfWarrantOrRightN"/>
      <w:bookmarkEnd w:id="1046"/>
      <w:r>
        <w:rPr>
          <w:rFonts w:ascii="Times New Roman;Times;Serif" w:hAnsi="Times New Roman;Times;Serif"/>
          <w:b w:val="false"/>
          <w:i w:val="false"/>
          <w:caps w:val="false"/>
          <w:smallCaps w:val="false"/>
          <w:sz w:val="20"/>
        </w:rPr>
        <w:t>714,285 shares of the Company’s Class A common stock for gross proceeds of $</w:t>
      </w:r>
      <w:bookmarkStart w:id="1047" w:name="xdx_908_eus-gaap--ProceedsFromConvertibl"/>
      <w:bookmarkEnd w:id="1047"/>
      <w:r>
        <w:rPr>
          <w:rFonts w:ascii="Times New Roman;Times;Serif" w:hAnsi="Times New Roman;Times;Serif"/>
          <w:b w:val="false"/>
          <w:i w:val="false"/>
          <w:caps w:val="false"/>
          <w:smallCaps w:val="false"/>
          <w:sz w:val="20"/>
        </w:rPr>
        <w:t>1,000,000 (the “2023 Convertible Notes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2023 Convertible Notes carried an original issue discount of approximately </w:t>
      </w:r>
      <w:bookmarkStart w:id="1048" w:name="xdx_90E_ecustom--DebtInstrumentOriginalI"/>
      <w:bookmarkEnd w:id="1048"/>
      <w:r>
        <w:rPr>
          <w:rFonts w:ascii="Times New Roman;Times;Serif" w:hAnsi="Times New Roman;Times;Serif"/>
          <w:b w:val="false"/>
          <w:i w:val="false"/>
          <w:caps w:val="false"/>
          <w:smallCaps w:val="false"/>
          <w:sz w:val="20"/>
        </w:rPr>
        <w:t xml:space="preserve">7.4%, bore interest at a rate of </w:t>
      </w:r>
      <w:bookmarkStart w:id="1049" w:name="xdx_902_eus-gaap--DebtInstrumentInterest"/>
      <w:bookmarkEnd w:id="1049"/>
      <w:r>
        <w:rPr>
          <w:rFonts w:ascii="Times New Roman;Times;Serif" w:hAnsi="Times New Roman;Times;Serif"/>
          <w:b w:val="false"/>
          <w:i w:val="false"/>
          <w:caps w:val="false"/>
          <w:smallCaps w:val="false"/>
          <w:sz w:val="20"/>
        </w:rPr>
        <w:t>7.5% per annum (</w:t>
      </w:r>
      <w:bookmarkStart w:id="1050" w:name="xdx_902_ecustom--DebtInstrumentDefaultIn"/>
      <w:bookmarkEnd w:id="1050"/>
      <w:r>
        <w:rPr>
          <w:rFonts w:ascii="Times New Roman;Times;Serif" w:hAnsi="Times New Roman;Times;Serif"/>
          <w:b w:val="false"/>
          <w:i w:val="false"/>
          <w:caps w:val="false"/>
          <w:smallCaps w:val="false"/>
          <w:sz w:val="20"/>
        </w:rPr>
        <w:t xml:space="preserve">16% per annum in case of an event of default), were repaid in equal consecutive monthly installments that began in February 2024 and matured on </w:t>
      </w:r>
      <w:bookmarkStart w:id="1051" w:name="xdx_90E_eus-gaap--DebtInstrumentMaturity"/>
      <w:bookmarkEnd w:id="1051"/>
      <w:r>
        <w:rPr>
          <w:rFonts w:ascii="Times New Roman;Times;Serif" w:hAnsi="Times New Roman;Times;Serif"/>
          <w:b w:val="false"/>
          <w:i w:val="false"/>
          <w:caps w:val="false"/>
          <w:smallCaps w:val="false"/>
          <w:sz w:val="20"/>
        </w:rPr>
        <w:t>May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2023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year ended December 31, 2024, was not significant and as such, was not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discount was amortized to interest expense over the maturity period using the effective interest method at a rate of </w:t>
      </w:r>
      <w:bookmarkStart w:id="1052" w:name="xdx_90C_eus-gaap--DebtInstrumentInterest"/>
      <w:bookmarkEnd w:id="1052"/>
      <w:r>
        <w:rPr>
          <w:rFonts w:ascii="Times New Roman;Times;Serif" w:hAnsi="Times New Roman;Times;Serif"/>
          <w:b w:val="false"/>
          <w:i w:val="false"/>
          <w:caps w:val="false"/>
          <w:smallCaps w:val="false"/>
          <w:sz w:val="20"/>
        </w:rPr>
        <w:t>103.4%. The effective interest rate is based on the principal balance discounted by stated interest, debt issuance costs and fair value allocated to the related warrants. For the year ended December 31, 2024, the Company recognized $</w:t>
      </w:r>
      <w:bookmarkStart w:id="1053" w:name="xdx_905_eus-gaap--InterestExpenseDebt_c2"/>
      <w:bookmarkEnd w:id="1053"/>
      <w:r>
        <w:rPr>
          <w:rFonts w:ascii="Times New Roman;Times;Serif" w:hAnsi="Times New Roman;Times;Serif"/>
          <w:b w:val="false"/>
          <w:i w:val="false"/>
          <w:caps w:val="false"/>
          <w:smallCaps w:val="false"/>
          <w:sz w:val="20"/>
        </w:rPr>
        <w:t>309,433 of interest expense related to the Convertible Notes, comprising of $</w:t>
      </w:r>
      <w:bookmarkStart w:id="1054" w:name="xdx_90D_eus-gaap--ContractualInterestExp"/>
      <w:bookmarkEnd w:id="1054"/>
      <w:r>
        <w:rPr>
          <w:rFonts w:ascii="Times New Roman;Times;Serif" w:hAnsi="Times New Roman;Times;Serif"/>
          <w:b w:val="false"/>
          <w:i w:val="false"/>
          <w:caps w:val="false"/>
          <w:smallCaps w:val="false"/>
          <w:sz w:val="20"/>
        </w:rPr>
        <w:t>22,725 of contractual interest expense, $</w:t>
      </w:r>
      <w:bookmarkStart w:id="1055" w:name="xdx_909_eus-gaap--AccretionExpense_c2024"/>
      <w:bookmarkEnd w:id="1055"/>
      <w:r>
        <w:rPr>
          <w:rFonts w:ascii="Times New Roman;Times;Serif" w:hAnsi="Times New Roman;Times;Serif"/>
          <w:b w:val="false"/>
          <w:i w:val="false"/>
          <w:caps w:val="false"/>
          <w:smallCaps w:val="false"/>
          <w:sz w:val="20"/>
        </w:rPr>
        <w:t>222,628 in accretion and $</w:t>
      </w:r>
      <w:bookmarkStart w:id="1056" w:name="xdx_907_eus-gaap--AmortizationOfDebtDisc"/>
      <w:bookmarkEnd w:id="1056"/>
      <w:r>
        <w:rPr>
          <w:rFonts w:ascii="Times New Roman;Times;Serif" w:hAnsi="Times New Roman;Times;Serif"/>
          <w:b w:val="false"/>
          <w:i w:val="false"/>
          <w:caps w:val="false"/>
          <w:smallCaps w:val="false"/>
          <w:sz w:val="20"/>
        </w:rPr>
        <w:t>64,080 of amortization of debt discount and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repaid the balance of $</w:t>
      </w:r>
      <w:bookmarkStart w:id="1057" w:name="xdx_90B_eus-gaap--DebtInstrumentPeriodic"/>
      <w:bookmarkEnd w:id="1057"/>
      <w:r>
        <w:rPr>
          <w:rFonts w:ascii="Times New Roman;Times;Serif" w:hAnsi="Times New Roman;Times;Serif"/>
          <w:b w:val="false"/>
          <w:i w:val="false"/>
          <w:caps w:val="false"/>
          <w:smallCaps w:val="false"/>
          <w:sz w:val="20"/>
        </w:rPr>
        <w:t>1,071,750 of principal and accrued interest and the investors converted $</w:t>
      </w:r>
      <w:bookmarkStart w:id="1058" w:name="xdx_90D_eus-gaap--DebtConversionOriginal"/>
      <w:bookmarkEnd w:id="1058"/>
      <w:r>
        <w:rPr>
          <w:rFonts w:ascii="Times New Roman;Times;Serif" w:hAnsi="Times New Roman;Times;Serif"/>
          <w:b w:val="false"/>
          <w:i w:val="false"/>
          <w:caps w:val="false"/>
          <w:smallCaps w:val="false"/>
          <w:sz w:val="20"/>
        </w:rPr>
        <w:t xml:space="preserve">60,000 of principal into </w:t>
      </w:r>
      <w:bookmarkStart w:id="1059" w:name="xdx_90C_eus-gaap--DebtConversionConverte"/>
      <w:bookmarkEnd w:id="1059"/>
      <w:r>
        <w:rPr>
          <w:rFonts w:ascii="Times New Roman;Times;Serif" w:hAnsi="Times New Roman;Times;Serif"/>
          <w:b w:val="false"/>
          <w:i w:val="false"/>
          <w:caps w:val="false"/>
          <w:smallCaps w:val="false"/>
          <w:sz w:val="20"/>
        </w:rPr>
        <w:t>71,460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0" w:name="xdx_802_eus-gaap--IncomeTaxDisclosureTex"/>
      <w:bookmarkEnd w:id="1060"/>
      <w:r>
        <w:rPr>
          <w:rFonts w:ascii="Times New Roman;Times;Serif" w:hAnsi="Times New Roman;Times;Serif"/>
          <w:b/>
          <w:i w:val="false"/>
          <w:caps w:val="false"/>
          <w:smallCaps w:val="false"/>
          <w:sz w:val="20"/>
        </w:rPr>
        <w:t>NOTE 13 –</w:t>
      </w:r>
      <w:bookmarkStart w:id="1061" w:name="xdx_828_zRRfc0fPrql5"/>
      <w:bookmarkEnd w:id="1061"/>
      <w:r>
        <w:rPr>
          <w:rFonts w:ascii="Times New Roman;Times;Serif" w:hAnsi="Times New Roman;Times;Serif"/>
          <w:b/>
          <w:i w:val="false"/>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2" w:name="xdx_89E_eus-gaap--ScheduleOfIncomeBefore"/>
      <w:bookmarkEnd w:id="1062"/>
      <w:r>
        <w:rPr>
          <w:rFonts w:ascii="Times New Roman;Times;Serif" w:hAnsi="Times New Roman;Times;Serif"/>
          <w:b w:val="false"/>
          <w:i w:val="false"/>
          <w:caps w:val="false"/>
          <w:smallCaps w:val="false"/>
          <w:sz w:val="20"/>
        </w:rPr>
        <w:t>The components of income (loss) before provision for income taxes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1063" w:name="xdx_8B7_z3sxutmwtstc"/>
      <w:bookmarkEnd w:id="1063"/>
      <w:r>
        <w:rPr>
          <w:rFonts w:ascii="Times New Roman;Times;Serif" w:hAnsi="Times New Roman;Times;Serif"/>
          <w:b w:val="false"/>
          <w:i w:val="false"/>
          <w:caps w:val="false"/>
          <w:smallCaps w:val="false"/>
          <w:sz w:val="20"/>
        </w:rPr>
        <w:t>SCHEDULE OF INCOME (LOSS) BEFORE PROVISION FOR INCOME TAXES</w:t>
      </w:r>
    </w:p>
    <w:tbl>
      <w:tblPr>
        <w:tblW w:w="4020" w:type="dxa"/>
        <w:jc w:val="left"/>
        <w:tblInd w:w="0" w:type="dxa"/>
        <w:tblLayout w:type="fixed"/>
        <w:tblCellMar>
          <w:top w:w="0" w:type="dxa"/>
          <w:left w:w="0" w:type="dxa"/>
          <w:bottom w:w="0" w:type="dxa"/>
          <w:right w:w="0" w:type="dxa"/>
        </w:tblCellMar>
      </w:tblPr>
      <w:tblGrid>
        <w:gridCol w:w="1295"/>
        <w:gridCol w:w="60"/>
        <w:gridCol w:w="140"/>
        <w:gridCol w:w="1175"/>
        <w:gridCol w:w="95"/>
        <w:gridCol w:w="60"/>
        <w:gridCol w:w="140"/>
        <w:gridCol w:w="980"/>
        <w:gridCol w:w="75"/>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4" w:name="xdx_491_20250101__20251231_z4Hlpjt1UxE3"/>
            <w:bookmarkEnd w:id="1064"/>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5" w:name="xdx_49A_20240101__20241231_z5TsvNYauAje"/>
            <w:bookmarkEnd w:id="106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066" w:name="xdx_407_eus-gaap--IncomeLossFromContinui"/>
            <w:bookmarkEnd w:id="1066"/>
          </w:p>
        </w:tc>
      </w:tr>
      <w:tr>
        <w:trPr/>
        <w:tc>
          <w:tcPr>
            <w:tcW w:w="129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(16,830,890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2,233,247</w:t>
            </w:r>
          </w:p>
        </w:tc>
        <w:tc>
          <w:tcPr>
            <w:tcW w:w="75" w:type="dxa"/>
            <w:tcBorders/>
            <w:shd w:fill="CCEEFF" w:val="clear"/>
            <w:vAlign w:val="center"/>
          </w:tcPr>
          <w:p>
            <w:pPr>
              <w:pStyle w:val="TableContents"/>
              <w:bidi w:val="0"/>
              <w:spacing w:before="0" w:after="283"/>
              <w:jc w:val="left"/>
              <w:rPr/>
            </w:pPr>
            <w:r>
              <w:rPr/>
              <w:t> </w:t>
            </w:r>
            <w:bookmarkStart w:id="1067" w:name="xdx_402_eus-gaap--IncomeLossFromContinui"/>
            <w:bookmarkEnd w:id="1067"/>
          </w:p>
        </w:tc>
      </w:tr>
      <w:tr>
        <w:trPr/>
        <w:tc>
          <w:tcPr>
            <w:tcW w:w="1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282,058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225,952</w:t>
            </w:r>
          </w:p>
        </w:tc>
        <w:tc>
          <w:tcPr>
            <w:tcW w:w="75" w:type="dxa"/>
            <w:tcBorders/>
            <w:shd w:fill="FFFFFF" w:val="clear"/>
            <w:vAlign w:val="center"/>
          </w:tcPr>
          <w:p>
            <w:pPr>
              <w:pStyle w:val="TableContents"/>
              <w:bidi w:val="0"/>
              <w:spacing w:before="0" w:after="283"/>
              <w:jc w:val="left"/>
              <w:rPr/>
            </w:pPr>
            <w:r>
              <w:rPr/>
              <w:t> </w:t>
            </w:r>
            <w:bookmarkStart w:id="1068" w:name="xdx_400_ecustom--IncomeLossFromContinuin"/>
            <w:bookmarkEnd w:id="1068"/>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(16,548,832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2,459,199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69" w:name="xdx_8A1_zFRxYsuHKNBi"/>
      <w:bookmarkEnd w:id="10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70" w:name="xdx_89B_eus-gaap--ScheduleOfComponentsOf"/>
      <w:bookmarkEnd w:id="1070"/>
      <w:r>
        <w:rPr>
          <w:rFonts w:ascii="Times New Roman;Times;Serif" w:hAnsi="Times New Roman;Times;Serif"/>
          <w:b w:val="false"/>
          <w:i w:val="false"/>
          <w:caps w:val="false"/>
          <w:smallCaps w:val="false"/>
          <w:sz w:val="20"/>
        </w:rPr>
        <w:t>The income tax provision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1071" w:name="xdx_8BF_zRwV2fb5hQW7"/>
      <w:bookmarkEnd w:id="1071"/>
      <w:r>
        <w:rPr>
          <w:rFonts w:ascii="Times New Roman;Times;Serif" w:hAnsi="Times New Roman;Times;Serif"/>
          <w:b w:val="false"/>
          <w:i w:val="false"/>
          <w:caps w:val="false"/>
          <w:smallCaps w:val="false"/>
          <w:sz w:val="20"/>
        </w:rPr>
        <w:t xml:space="preserve">SCHEDULE OF INCOME TAX PROVISION </w:t>
      </w:r>
    </w:p>
    <w:tbl>
      <w:tblPr>
        <w:tblW w:w="5855" w:type="dxa"/>
        <w:jc w:val="left"/>
        <w:tblInd w:w="0" w:type="dxa"/>
        <w:tblLayout w:type="fixed"/>
        <w:tblCellMar>
          <w:top w:w="0" w:type="dxa"/>
          <w:left w:w="0" w:type="dxa"/>
          <w:bottom w:w="0" w:type="dxa"/>
          <w:right w:w="0" w:type="dxa"/>
        </w:tblCellMar>
      </w:tblPr>
      <w:tblGrid>
        <w:gridCol w:w="3170"/>
        <w:gridCol w:w="60"/>
        <w:gridCol w:w="140"/>
        <w:gridCol w:w="1100"/>
        <w:gridCol w:w="95"/>
        <w:gridCol w:w="60"/>
        <w:gridCol w:w="140"/>
        <w:gridCol w:w="980"/>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2" w:name="xdx_49B_20250101__20251231_zJWz4qVuPsJi"/>
            <w:bookmarkEnd w:id="107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3" w:name="xdx_491_20240101__20241231_zD7s0WTjqUOe"/>
            <w:bookmarkEnd w:id="107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4" w:name="xdx_405_eus-gaap--CurrentFederalTaxExpen"/>
            <w:bookmarkEnd w:id="1074"/>
          </w:p>
        </w:tc>
      </w:tr>
      <w:tr>
        <w:trPr/>
        <w:tc>
          <w:tcPr>
            <w:tcW w:w="3170" w:type="dxa"/>
            <w:tcBorders/>
            <w:shd w:fill="FFFFFF" w:val="clear"/>
            <w:vAlign w:val="center"/>
          </w:tcPr>
          <w:p>
            <w:pPr>
              <w:pStyle w:val="TableContents"/>
              <w:bidi w:val="0"/>
              <w:spacing w:before="0" w:after="283"/>
              <w:jc w:val="left"/>
              <w:rPr/>
            </w:pPr>
            <w:r>
              <w:rPr/>
              <w:t>U.S. Federal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(161,692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872,061</w:t>
            </w:r>
          </w:p>
        </w:tc>
        <w:tc>
          <w:tcPr>
            <w:tcW w:w="110" w:type="dxa"/>
            <w:tcBorders/>
            <w:shd w:fill="FFFFFF" w:val="clear"/>
            <w:vAlign w:val="center"/>
          </w:tcPr>
          <w:p>
            <w:pPr>
              <w:pStyle w:val="TableContents"/>
              <w:bidi w:val="0"/>
              <w:spacing w:before="0" w:after="283"/>
              <w:jc w:val="left"/>
              <w:rPr/>
            </w:pPr>
            <w:r>
              <w:rPr/>
              <w:t> </w:t>
            </w:r>
            <w:bookmarkStart w:id="1075" w:name="xdx_400_eus-gaap--CurrentStateAndLocalTa"/>
            <w:bookmarkEnd w:id="1075"/>
          </w:p>
        </w:tc>
      </w:tr>
      <w:tr>
        <w:trPr/>
        <w:tc>
          <w:tcPr>
            <w:tcW w:w="3170" w:type="dxa"/>
            <w:tcBorders/>
            <w:shd w:fill="CCEEFF" w:val="clear"/>
            <w:vAlign w:val="center"/>
          </w:tcPr>
          <w:p>
            <w:pPr>
              <w:pStyle w:val="TableContents"/>
              <w:bidi w:val="0"/>
              <w:spacing w:before="0" w:after="283"/>
              <w:jc w:val="left"/>
              <w:rPr/>
            </w:pPr>
            <w:r>
              <w:rPr/>
              <w:t>U.S. State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417,447</w:t>
            </w:r>
          </w:p>
        </w:tc>
        <w:tc>
          <w:tcPr>
            <w:tcW w:w="110" w:type="dxa"/>
            <w:tcBorders/>
            <w:shd w:fill="CCEEFF" w:val="clear"/>
            <w:vAlign w:val="center"/>
          </w:tcPr>
          <w:p>
            <w:pPr>
              <w:pStyle w:val="TableContents"/>
              <w:bidi w:val="0"/>
              <w:spacing w:before="0" w:after="283"/>
              <w:jc w:val="left"/>
              <w:rPr/>
            </w:pPr>
            <w:r>
              <w:rPr/>
              <w:t> </w:t>
            </w:r>
            <w:bookmarkStart w:id="1076" w:name="xdx_40C_eus-gaap--CurrentForeignTaxExpen"/>
            <w:bookmarkEnd w:id="1076"/>
          </w:p>
        </w:tc>
      </w:tr>
      <w:tr>
        <w:trPr/>
        <w:tc>
          <w:tcPr>
            <w:tcW w:w="317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(87,783</w:t>
            </w:r>
          </w:p>
        </w:tc>
        <w:tc>
          <w:tcPr>
            <w:tcW w:w="110" w:type="dxa"/>
            <w:tcBorders/>
            <w:shd w:fill="FFFFFF" w:val="clear"/>
            <w:vAlign w:val="center"/>
          </w:tcPr>
          <w:p>
            <w:pPr>
              <w:pStyle w:val="TableContents"/>
              <w:bidi w:val="0"/>
              <w:spacing w:before="0" w:after="283"/>
              <w:jc w:val="left"/>
              <w:rPr/>
            </w:pPr>
            <w:r>
              <w:rPr/>
              <w:t>)</w:t>
            </w:r>
            <w:bookmarkStart w:id="1077" w:name="xdx_402_eus-gaap--CurrentIncomeTaxExpens"/>
            <w:bookmarkEnd w:id="1077"/>
          </w:p>
        </w:tc>
      </w:tr>
      <w:tr>
        <w:trPr/>
        <w:tc>
          <w:tcPr>
            <w:tcW w:w="3170" w:type="dxa"/>
            <w:tcBorders/>
            <w:shd w:fill="CCEEFF" w:val="clear"/>
            <w:vAlign w:val="center"/>
          </w:tcPr>
          <w:p>
            <w:pPr>
              <w:pStyle w:val="TableContents"/>
              <w:bidi w:val="0"/>
              <w:spacing w:before="0" w:after="283"/>
              <w:jc w:val="left"/>
              <w:rPr/>
            </w:pPr>
            <w:r>
              <w:rPr/>
              <w:t>Total current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(128,660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1,201,725</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8" w:name="xdx_40E_eus-gaap--DeferredFederalIncomeT"/>
            <w:bookmarkEnd w:id="1078"/>
          </w:p>
        </w:tc>
      </w:tr>
      <w:tr>
        <w:trPr/>
        <w:tc>
          <w:tcPr>
            <w:tcW w:w="3170" w:type="dxa"/>
            <w:tcBorders/>
            <w:shd w:fill="CCEEFF" w:val="clear"/>
            <w:vAlign w:val="center"/>
          </w:tcPr>
          <w:p>
            <w:pPr>
              <w:pStyle w:val="TableContents"/>
              <w:bidi w:val="0"/>
              <w:spacing w:before="0" w:after="283"/>
              <w:jc w:val="left"/>
              <w:rPr/>
            </w:pPr>
            <w:r>
              <w:rPr/>
              <w:t>U.S. 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9,177,267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(194,622</w:t>
            </w:r>
          </w:p>
        </w:tc>
        <w:tc>
          <w:tcPr>
            <w:tcW w:w="110" w:type="dxa"/>
            <w:tcBorders/>
            <w:shd w:fill="CCEEFF" w:val="clear"/>
            <w:vAlign w:val="center"/>
          </w:tcPr>
          <w:p>
            <w:pPr>
              <w:pStyle w:val="TableContents"/>
              <w:bidi w:val="0"/>
              <w:spacing w:before="0" w:after="283"/>
              <w:jc w:val="left"/>
              <w:rPr/>
            </w:pPr>
            <w:r>
              <w:rPr/>
              <w:t>)</w:t>
            </w:r>
            <w:bookmarkStart w:id="1079" w:name="xdx_401_eus-gaap--DeferredStateAndLocalI"/>
            <w:bookmarkEnd w:id="1079"/>
          </w:p>
        </w:tc>
      </w:tr>
      <w:tr>
        <w:trPr/>
        <w:tc>
          <w:tcPr>
            <w:tcW w:w="3170" w:type="dxa"/>
            <w:tcBorders/>
            <w:shd w:fill="FFFFFF" w:val="clear"/>
            <w:vAlign w:val="center"/>
          </w:tcPr>
          <w:p>
            <w:pPr>
              <w:pStyle w:val="TableContents"/>
              <w:bidi w:val="0"/>
              <w:spacing w:before="0" w:after="283"/>
              <w:jc w:val="left"/>
              <w:rPr/>
            </w:pPr>
            <w:r>
              <w:rPr/>
              <w:t>U.S. 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1,640,293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(374,979</w:t>
            </w:r>
          </w:p>
        </w:tc>
        <w:tc>
          <w:tcPr>
            <w:tcW w:w="110" w:type="dxa"/>
            <w:tcBorders/>
            <w:shd w:fill="FFFFFF" w:val="clear"/>
            <w:vAlign w:val="center"/>
          </w:tcPr>
          <w:p>
            <w:pPr>
              <w:pStyle w:val="TableContents"/>
              <w:bidi w:val="0"/>
              <w:spacing w:before="0" w:after="283"/>
              <w:jc w:val="left"/>
              <w:rPr/>
            </w:pPr>
            <w:r>
              <w:rPr/>
              <w:t>)</w:t>
            </w:r>
            <w:bookmarkStart w:id="1080" w:name="xdx_401_eus-gaap--DeferredIncomeTaxExpen"/>
            <w:bookmarkEnd w:id="1080"/>
          </w:p>
        </w:tc>
      </w:tr>
      <w:tr>
        <w:trPr/>
        <w:tc>
          <w:tcPr>
            <w:tcW w:w="3170" w:type="dxa"/>
            <w:tcBorders/>
            <w:shd w:fill="CCEEFF" w:val="clear"/>
            <w:vAlign w:val="center"/>
          </w:tcPr>
          <w:p>
            <w:pPr>
              <w:pStyle w:val="TableContents"/>
              <w:bidi w:val="0"/>
              <w:spacing w:before="0" w:after="283"/>
              <w:jc w:val="left"/>
              <w:rPr/>
            </w:pPr>
            <w:r>
              <w:rPr/>
              <w:t>Total deferred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10,817,560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(569,601</w:t>
            </w:r>
          </w:p>
        </w:tc>
        <w:tc>
          <w:tcPr>
            <w:tcW w:w="110" w:type="dxa"/>
            <w:tcBorders/>
            <w:shd w:fill="CCEEFF" w:val="clear"/>
            <w:vAlign w:val="center"/>
          </w:tcPr>
          <w:p>
            <w:pPr>
              <w:pStyle w:val="TableContents"/>
              <w:bidi w:val="0"/>
              <w:spacing w:before="0" w:after="283"/>
              <w:jc w:val="left"/>
              <w:rPr/>
            </w:pPr>
            <w:r>
              <w:rPr/>
              <w:t>)</w:t>
            </w:r>
            <w:bookmarkStart w:id="1081" w:name="xdx_40C_eus-gaap--IncomeTaxExpenseBenefi"/>
            <w:bookmarkEnd w:id="1081"/>
          </w:p>
        </w:tc>
      </w:tr>
      <w:tr>
        <w:trPr/>
        <w:tc>
          <w:tcPr>
            <w:tcW w:w="317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10,688,900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632,124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82" w:name="xdx_8A1_z2f5ZExkSw19"/>
      <w:bookmarkEnd w:id="108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implemented FASB ASU 2023-09 on a prospective basis, as such, we have presented two separate rate reconciliation tables, one under the FASB ASU 2023-09 requirements and a second carried forward from the year ended December 31, 2024. The provision for income taxes differs from the amounts computed by applying the federal statutory tax rate of 21.0% to earnings before income taxes for the year ended December 31, 2025, after adoption of ASU 2023-09, is as follows:</w:t>
      </w:r>
    </w:p>
    <w:p>
      <w:pPr>
        <w:pStyle w:val="TextBody"/>
        <w:bidi w:val="0"/>
        <w:spacing w:before="0" w:after="0"/>
        <w:ind w:left="0" w:right="0" w:hanging="0"/>
        <w:jc w:val="both"/>
        <w:rPr>
          <w:caps w:val="false"/>
          <w:smallCaps w:val="false"/>
        </w:rPr>
      </w:pPr>
      <w:bookmarkStart w:id="1083" w:name="xdx_89C_eus-gaap--ScheduleOfEffectiveInc"/>
      <w:bookmarkEnd w:id="1083"/>
      <w:r>
        <w:rPr>
          <w:caps w:val="false"/>
          <w:smallCaps w:val="false"/>
        </w:rPr>
        <w:t> </w:t>
      </w:r>
      <w:bookmarkStart w:id="1084" w:name="xdx_8B6_zaKI8l8OdBN4"/>
      <w:bookmarkEnd w:id="1084"/>
      <w:r>
        <w:rPr>
          <w:rFonts w:ascii="Times New Roman;Times;Serif" w:hAnsi="Times New Roman;Times;Serif"/>
          <w:b w:val="false"/>
          <w:i w:val="false"/>
          <w:caps w:val="false"/>
          <w:smallCaps w:val="false"/>
          <w:sz w:val="20"/>
        </w:rPr>
        <w:t>SCHEDULE OF EFFECTIVE INCOME TAX RATE RECONCILIATION</w:t>
      </w:r>
    </w:p>
    <w:tbl>
      <w:tblPr>
        <w:tblW w:w="8125" w:type="dxa"/>
        <w:jc w:val="left"/>
        <w:tblInd w:w="0" w:type="dxa"/>
        <w:tblLayout w:type="fixed"/>
        <w:tblCellMar>
          <w:top w:w="0" w:type="dxa"/>
          <w:left w:w="0" w:type="dxa"/>
          <w:bottom w:w="0" w:type="dxa"/>
          <w:right w:w="0" w:type="dxa"/>
        </w:tblCellMar>
      </w:tblPr>
      <w:tblGrid>
        <w:gridCol w:w="5750"/>
        <w:gridCol w:w="60"/>
        <w:gridCol w:w="60"/>
        <w:gridCol w:w="1100"/>
        <w:gridCol w:w="95"/>
        <w:gridCol w:w="60"/>
        <w:gridCol w:w="60"/>
        <w:gridCol w:w="635"/>
        <w:gridCol w:w="305"/>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5" w:name="xdx_496_20250101__20251231_ztxrhU7ON7Tk"/>
            <w:bookmarkEnd w:id="1085"/>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05"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bookmarkStart w:id="1086" w:name="xdx_400_eus-gaap--IncomeTaxReconciliatio"/>
            <w:bookmarkEnd w:id="1086"/>
          </w:p>
        </w:tc>
      </w:tr>
      <w:tr>
        <w:trPr/>
        <w:tc>
          <w:tcPr>
            <w:tcW w:w="5750" w:type="dxa"/>
            <w:tcBorders/>
            <w:shd w:fill="CCEEFF" w:val="clear"/>
            <w:vAlign w:val="center"/>
          </w:tcPr>
          <w:p>
            <w:pPr>
              <w:pStyle w:val="TableContents"/>
              <w:bidi w:val="0"/>
              <w:spacing w:before="0" w:after="283"/>
              <w:jc w:val="left"/>
              <w:rPr/>
            </w:pPr>
            <w:r>
              <w:rPr/>
              <w:t>U.S. Federal statutory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(3,475,255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87" w:name="xdx_98F_eus-gaap--EffectiveIncomeTaxRate"/>
            <w:bookmarkEnd w:id="1087"/>
          </w:p>
        </w:tc>
        <w:tc>
          <w:tcPr>
            <w:tcW w:w="635"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bookmarkStart w:id="1088" w:name="xdx_407_eus-gaap--IncomeTaxReconciliatio"/>
            <w:bookmarkEnd w:id="1088"/>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1,359,706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89" w:name="xdx_98B_eus-gaap--EffectiveIncomeTaxRate"/>
            <w:bookmarkEnd w:id="1089"/>
          </w:p>
        </w:tc>
        <w:tc>
          <w:tcPr>
            <w:tcW w:w="635" w:type="dxa"/>
            <w:tcBorders/>
            <w:shd w:fill="FFFFFF" w:val="clear"/>
            <w:vAlign w:val="center"/>
          </w:tcPr>
          <w:p>
            <w:pPr>
              <w:pStyle w:val="TableContents"/>
              <w:bidi w:val="0"/>
              <w:spacing w:before="0" w:after="283"/>
              <w:jc w:val="right"/>
              <w:rPr/>
            </w:pPr>
            <w:r>
              <w:rPr/>
              <w:t>(8.22</w:t>
            </w:r>
          </w:p>
        </w:tc>
        <w:tc>
          <w:tcPr>
            <w:tcW w:w="305" w:type="dxa"/>
            <w:tcBorders/>
            <w:shd w:fill="FFFFFF" w:val="clear"/>
            <w:vAlign w:val="center"/>
          </w:tcPr>
          <w:p>
            <w:pPr>
              <w:pStyle w:val="TableContents"/>
              <w:bidi w:val="0"/>
              <w:spacing w:before="0" w:after="283"/>
              <w:jc w:val="left"/>
              <w:rPr/>
            </w:pPr>
            <w:r>
              <w:rPr/>
              <w:t>)%</w:t>
            </w:r>
            <w:bookmarkStart w:id="1090" w:name="xdx_406_eus-gaap--EffectiveIncomeTaxRate"/>
            <w:bookmarkEnd w:id="1090"/>
          </w:p>
        </w:tc>
      </w:tr>
      <w:tr>
        <w:trPr/>
        <w:tc>
          <w:tcPr>
            <w:tcW w:w="5750" w:type="dxa"/>
            <w:tcBorders/>
            <w:shd w:fill="CCEEFF" w:val="clear"/>
            <w:vAlign w:val="center"/>
          </w:tcPr>
          <w:p>
            <w:pPr>
              <w:pStyle w:val="TableContents"/>
              <w:bidi w:val="0"/>
              <w:spacing w:before="0" w:after="283"/>
              <w:jc w:val="left"/>
              <w:rPr/>
            </w:pPr>
            <w:r>
              <w:rPr/>
              <w:t>Effect of cross border tax laws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1" w:name="xdx_985_eus-gaap--EffectiveIncomeTaxRate"/>
            <w:bookmarkEnd w:id="1091"/>
          </w:p>
        </w:tc>
        <w:tc>
          <w:tcPr>
            <w:tcW w:w="635" w:type="dxa"/>
            <w:tcBorders/>
            <w:shd w:fill="CCEEFF" w:val="clear"/>
            <w:vAlign w:val="center"/>
          </w:tcPr>
          <w:p>
            <w:pPr>
              <w:pStyle w:val="TableContents"/>
              <w:bidi w:val="0"/>
              <w:spacing w:before="0" w:after="283"/>
              <w:jc w:val="right"/>
              <w:rPr/>
            </w:pPr>
            <w:r>
              <w:rPr/>
              <w:t>(0.35</w:t>
            </w:r>
          </w:p>
        </w:tc>
        <w:tc>
          <w:tcPr>
            <w:tcW w:w="305" w:type="dxa"/>
            <w:tcBorders/>
            <w:shd w:fill="CCEEFF" w:val="clear"/>
            <w:vAlign w:val="center"/>
          </w:tcPr>
          <w:p>
            <w:pPr>
              <w:pStyle w:val="TableContents"/>
              <w:bidi w:val="0"/>
              <w:spacing w:before="0" w:after="283"/>
              <w:jc w:val="left"/>
              <w:rPr/>
            </w:pPr>
            <w:r>
              <w:rPr/>
              <w:t>)%</w:t>
            </w:r>
            <w:bookmarkStart w:id="1092" w:name="xdx_401_eus-gaap--IncomeTaxReconciliatio"/>
            <w:bookmarkEnd w:id="1092"/>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13,040,854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3" w:name="xdx_98E_eus-gaap--EffectiveIncomeTaxRate"/>
            <w:bookmarkEnd w:id="1093"/>
          </w:p>
        </w:tc>
        <w:tc>
          <w:tcPr>
            <w:tcW w:w="635" w:type="dxa"/>
            <w:tcBorders/>
            <w:shd w:fill="FFFFFF" w:val="clear"/>
            <w:vAlign w:val="center"/>
          </w:tcPr>
          <w:p>
            <w:pPr>
              <w:pStyle w:val="TableContents"/>
              <w:bidi w:val="0"/>
              <w:spacing w:before="0" w:after="283"/>
              <w:jc w:val="right"/>
              <w:rPr/>
            </w:pPr>
            <w:r>
              <w:rPr/>
              <w:t>(78.80</w:t>
            </w:r>
          </w:p>
        </w:tc>
        <w:tc>
          <w:tcPr>
            <w:tcW w:w="305"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1094" w:name="xdx_405_ecustom--IncomeTaxReconciliation"/>
            <w:bookmarkEnd w:id="1094"/>
          </w:p>
        </w:tc>
      </w:tr>
      <w:tr>
        <w:trPr/>
        <w:tc>
          <w:tcPr>
            <w:tcW w:w="5750" w:type="dxa"/>
            <w:tcBorders/>
            <w:shd w:fill="FFFFFF" w:val="clear"/>
            <w:vAlign w:val="center"/>
          </w:tcPr>
          <w:p>
            <w:pPr>
              <w:pStyle w:val="TableContents"/>
              <w:bidi w:val="0"/>
              <w:spacing w:before="0" w:after="283"/>
              <w:jc w:val="left"/>
              <w:rPr/>
            </w:pPr>
            <w:r>
              <w:rPr/>
              <w:t>Warrant revaluation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5" w:name="xdx_98F_ecustom--EffectiveIncomeTaxRateR"/>
            <w:bookmarkEnd w:id="1095"/>
          </w:p>
        </w:tc>
        <w:tc>
          <w:tcPr>
            <w:tcW w:w="635" w:type="dxa"/>
            <w:tcBorders/>
            <w:shd w:fill="FFFFFF" w:val="clear"/>
            <w:vAlign w:val="center"/>
          </w:tcPr>
          <w:p>
            <w:pPr>
              <w:pStyle w:val="TableContents"/>
              <w:bidi w:val="0"/>
              <w:spacing w:before="0" w:after="283"/>
              <w:jc w:val="right"/>
              <w:rPr/>
            </w:pPr>
            <w:r>
              <w:rPr/>
              <w:t>1.13</w:t>
            </w:r>
          </w:p>
        </w:tc>
        <w:tc>
          <w:tcPr>
            <w:tcW w:w="305" w:type="dxa"/>
            <w:tcBorders/>
            <w:shd w:fill="FFFFFF" w:val="clear"/>
            <w:vAlign w:val="center"/>
          </w:tcPr>
          <w:p>
            <w:pPr>
              <w:pStyle w:val="TableContents"/>
              <w:bidi w:val="0"/>
              <w:spacing w:before="0" w:after="283"/>
              <w:jc w:val="left"/>
              <w:rPr/>
            </w:pPr>
            <w:r>
              <w:rPr/>
              <w:t>%</w:t>
            </w:r>
            <w:bookmarkStart w:id="1096" w:name="xdx_401_eus-gaap--IncomeTaxReconciliatio"/>
            <w:bookmarkEnd w:id="1096"/>
          </w:p>
        </w:tc>
      </w:tr>
      <w:tr>
        <w:trPr/>
        <w:tc>
          <w:tcPr>
            <w:tcW w:w="57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7" w:name="xdx_98D_eus-gaap--EffectiveIncomeTaxRate"/>
            <w:bookmarkEnd w:id="1097"/>
          </w:p>
        </w:tc>
        <w:tc>
          <w:tcPr>
            <w:tcW w:w="635" w:type="dxa"/>
            <w:tcBorders/>
            <w:shd w:fill="CCEEFF" w:val="clear"/>
            <w:vAlign w:val="center"/>
          </w:tcPr>
          <w:p>
            <w:pPr>
              <w:pStyle w:val="TableContents"/>
              <w:bidi w:val="0"/>
              <w:spacing w:before="0" w:after="283"/>
              <w:jc w:val="right"/>
              <w:rPr/>
            </w:pPr>
            <w:r>
              <w:rPr/>
              <w:t>(0.15</w:t>
            </w:r>
          </w:p>
        </w:tc>
        <w:tc>
          <w:tcPr>
            <w:tcW w:w="305" w:type="dxa"/>
            <w:tcBorders/>
            <w:shd w:fill="CCEEFF" w:val="clear"/>
            <w:vAlign w:val="center"/>
          </w:tcPr>
          <w:p>
            <w:pPr>
              <w:pStyle w:val="TableContents"/>
              <w:bidi w:val="0"/>
              <w:spacing w:before="0" w:after="283"/>
              <w:jc w:val="left"/>
              <w:rPr/>
            </w:pPr>
            <w:r>
              <w:rPr/>
              <w:t>)%</w:t>
            </w:r>
            <w:bookmarkStart w:id="1098" w:name="xdx_401_eus-gaap--IncomeTaxReconciliatio"/>
            <w:bookmarkEnd w:id="1098"/>
          </w:p>
        </w:tc>
      </w:tr>
      <w:tr>
        <w:trPr/>
        <w:tc>
          <w:tcPr>
            <w:tcW w:w="5750" w:type="dxa"/>
            <w:tcBorders/>
            <w:shd w:fill="FFFFFF" w:val="clear"/>
            <w:vAlign w:val="center"/>
          </w:tcPr>
          <w:p>
            <w:pPr>
              <w:pStyle w:val="TableContents"/>
              <w:bidi w:val="0"/>
              <w:spacing w:before="0" w:after="283"/>
              <w:jc w:val="left"/>
              <w:rPr/>
            </w:pPr>
            <w:r>
              <w:rPr/>
              <w:t>Worldwide changes in unrecognized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9" w:name="xdx_98B_eus-gaap--EffectiveIncomeTaxRate"/>
            <w:bookmarkEnd w:id="1099"/>
          </w:p>
        </w:tc>
        <w:tc>
          <w:tcPr>
            <w:tcW w:w="635" w:type="dxa"/>
            <w:tcBorders/>
            <w:shd w:fill="FFFFFF" w:val="clear"/>
            <w:vAlign w:val="center"/>
          </w:tcPr>
          <w:p>
            <w:pPr>
              <w:pStyle w:val="TableContents"/>
              <w:bidi w:val="0"/>
              <w:spacing w:before="0" w:after="283"/>
              <w:jc w:val="right"/>
              <w:rPr/>
            </w:pPr>
            <w:r>
              <w:rPr/>
              <w:t>0.51</w:t>
            </w:r>
          </w:p>
        </w:tc>
        <w:tc>
          <w:tcPr>
            <w:tcW w:w="305" w:type="dxa"/>
            <w:tcBorders/>
            <w:shd w:fill="FFFFFF" w:val="clear"/>
            <w:vAlign w:val="center"/>
          </w:tcPr>
          <w:p>
            <w:pPr>
              <w:pStyle w:val="TableContents"/>
              <w:bidi w:val="0"/>
              <w:spacing w:before="0" w:after="283"/>
              <w:jc w:val="left"/>
              <w:rPr/>
            </w:pPr>
            <w:r>
              <w:rPr/>
              <w:t>%</w:t>
            </w:r>
            <w:bookmarkStart w:id="1100" w:name="xdx_404_ecustom--EffectiveIncomeTaxRateR"/>
            <w:bookmarkEnd w:id="1100"/>
          </w:p>
        </w:tc>
      </w:tr>
      <w:tr>
        <w:trPr/>
        <w:tc>
          <w:tcPr>
            <w:tcW w:w="5750" w:type="dxa"/>
            <w:tcBorders/>
            <w:shd w:fill="FFFFFF" w:val="clear"/>
            <w:vAlign w:val="center"/>
          </w:tcPr>
          <w:p>
            <w:pPr>
              <w:pStyle w:val="TableContents"/>
              <w:bidi w:val="0"/>
              <w:spacing w:before="0" w:after="283"/>
              <w:jc w:val="left"/>
              <w:rPr/>
            </w:pPr>
            <w:r>
              <w:rPr/>
              <w:t>Return to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01" w:name="xdx_401_eus-gaap--EffectiveIncomeTaxRate"/>
            <w:bookmarkStart w:id="1102" w:name="xdx_401_eus-gaap--EffectiveIncomeTaxRate"/>
            <w:bookmarkEnd w:id="1102"/>
          </w:p>
        </w:tc>
      </w:tr>
      <w:tr>
        <w:trPr/>
        <w:tc>
          <w:tcPr>
            <w:tcW w:w="5750" w:type="dxa"/>
            <w:tcBorders/>
            <w:shd w:fill="FFFFFF" w:val="clear"/>
            <w:vAlign w:val="center"/>
          </w:tcPr>
          <w:p>
            <w:pPr>
              <w:pStyle w:val="TableContents"/>
              <w:bidi w:val="0"/>
              <w:spacing w:before="0" w:after="283"/>
              <w:jc w:val="left"/>
              <w:rPr/>
            </w:pPr>
            <w:r>
              <w:rPr/>
              <w:t>GILTI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03" w:name="xdx_40C_eus-gaap--EffectiveIncomeTaxRate"/>
            <w:bookmarkStart w:id="1104" w:name="xdx_40C_eus-gaap--EffectiveIncomeTaxRate"/>
            <w:bookmarkEnd w:id="1104"/>
          </w:p>
        </w:tc>
      </w:tr>
      <w:tr>
        <w:trPr/>
        <w:tc>
          <w:tcPr>
            <w:tcW w:w="5750" w:type="dxa"/>
            <w:tcBorders/>
            <w:shd w:fill="FFFFFF" w:val="clear"/>
            <w:vAlign w:val="center"/>
          </w:tcPr>
          <w:p>
            <w:pPr>
              <w:pStyle w:val="TableContents"/>
              <w:bidi w:val="0"/>
              <w:spacing w:before="0" w:after="283"/>
              <w:jc w:val="left"/>
              <w:rPr/>
            </w:pPr>
            <w:r>
              <w:rPr/>
              <w:t>FDII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05" w:name="xdx_409_eus-gaap--EffectiveIncomeTaxRate"/>
            <w:bookmarkStart w:id="1106" w:name="xdx_409_eus-gaap--EffectiveIncomeTaxRate"/>
            <w:bookmarkEnd w:id="1106"/>
          </w:p>
        </w:tc>
      </w:tr>
      <w:tr>
        <w:trPr/>
        <w:tc>
          <w:tcPr>
            <w:tcW w:w="5750" w:type="dxa"/>
            <w:tcBorders/>
            <w:shd w:fill="FFFFFF" w:val="clear"/>
            <w:vAlign w:val="center"/>
          </w:tcPr>
          <w:p>
            <w:pPr>
              <w:pStyle w:val="TableContents"/>
              <w:bidi w:val="0"/>
              <w:spacing w:before="0" w:after="283"/>
              <w:jc w:val="left"/>
              <w:rPr/>
            </w:pPr>
            <w:r>
              <w:rPr/>
              <w:t>Foreign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07" w:name="xdx_408_eus-gaap--EffectiveIncomeTaxRate"/>
            <w:bookmarkStart w:id="1108" w:name="xdx_408_eus-gaap--EffectiveIncomeTaxRate"/>
            <w:bookmarkEnd w:id="1108"/>
          </w:p>
        </w:tc>
      </w:tr>
      <w:tr>
        <w:trPr/>
        <w:tc>
          <w:tcPr>
            <w:tcW w:w="5750" w:type="dxa"/>
            <w:tcBorders/>
            <w:shd w:fill="FFFFFF" w:val="clear"/>
            <w:vAlign w:val="center"/>
          </w:tcPr>
          <w:p>
            <w:pPr>
              <w:pStyle w:val="TableContents"/>
              <w:bidi w:val="0"/>
              <w:spacing w:before="0" w:after="283"/>
              <w:jc w:val="left"/>
              <w:rPr/>
            </w:pPr>
            <w:r>
              <w:rPr/>
              <w:t>R&amp;D credit true-up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09" w:name="xdx_407_eus-gaap--EffectiveIncomeTaxRate"/>
            <w:bookmarkStart w:id="1110" w:name="xdx_407_eus-gaap--EffectiveIncomeTaxRate"/>
            <w:bookmarkEnd w:id="1110"/>
          </w:p>
        </w:tc>
      </w:tr>
      <w:tr>
        <w:trPr/>
        <w:tc>
          <w:tcPr>
            <w:tcW w:w="5750" w:type="dxa"/>
            <w:tcBorders/>
            <w:shd w:fill="FFFFFF" w:val="clear"/>
            <w:vAlign w:val="center"/>
          </w:tcPr>
          <w:p>
            <w:pPr>
              <w:pStyle w:val="TableContents"/>
              <w:bidi w:val="0"/>
              <w:spacing w:before="0" w:after="283"/>
              <w:jc w:val="left"/>
              <w:rPr/>
            </w:pPr>
            <w:r>
              <w:rPr/>
              <w:t>Rate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bookmarkStart w:id="1111" w:name="xdx_40E_ecustom--EffectiveIncomeTaxRateR"/>
            <w:bookmarkStart w:id="1112" w:name="xdx_40E_ecustom--EffectiveIncomeTaxRateR"/>
            <w:bookmarkEnd w:id="1112"/>
          </w:p>
        </w:tc>
      </w:tr>
      <w:tr>
        <w:trPr/>
        <w:tc>
          <w:tcPr>
            <w:tcW w:w="5750" w:type="dxa"/>
            <w:tcBorders/>
            <w:shd w:fill="FFFFFF" w:val="clear"/>
            <w:vAlign w:val="center"/>
          </w:tcPr>
          <w:p>
            <w:pPr>
              <w:pStyle w:val="TableContents"/>
              <w:bidi w:val="0"/>
              <w:spacing w:before="0" w:after="283"/>
              <w:jc w:val="left"/>
              <w:rPr/>
            </w:pPr>
            <w:r>
              <w:rPr/>
              <w:t>Penalties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sz w:val="4"/>
                <w:szCs w:val="4"/>
              </w:rPr>
            </w:pPr>
            <w:r>
              <w:rPr>
                <w:sz w:val="4"/>
                <w:szCs w:val="4"/>
              </w:rPr>
            </w:r>
          </w:p>
        </w:tc>
        <w:tc>
          <w:tcPr>
            <w:tcW w:w="305" w:type="dxa"/>
            <w:tcBorders/>
            <w:shd w:fill="FFFFFF" w:val="clear"/>
            <w:vAlign w:val="center"/>
          </w:tcPr>
          <w:p>
            <w:pPr>
              <w:pStyle w:val="TableContents"/>
              <w:bidi w:val="0"/>
              <w:spacing w:before="0" w:after="283"/>
              <w:jc w:val="left"/>
              <w:rPr>
                <w:sz w:val="4"/>
                <w:szCs w:val="4"/>
              </w:rPr>
            </w:pPr>
            <w:r>
              <w:rPr>
                <w:sz w:val="4"/>
                <w:szCs w:val="4"/>
              </w:rPr>
            </w:r>
          </w:p>
        </w:tc>
      </w:tr>
      <w:tr>
        <w:trPr/>
        <w:tc>
          <w:tcPr>
            <w:tcW w:w="57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1113" w:name="xdx_407_eus-gaap--IncomeTaxReconciliatio"/>
            <w:bookmarkEnd w:id="1113"/>
          </w:p>
        </w:tc>
      </w:tr>
      <w:tr>
        <w:trPr/>
        <w:tc>
          <w:tcPr>
            <w:tcW w:w="575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4" w:name="xdx_986_eus-gaap--EffectiveIncomeTaxRate"/>
            <w:bookmarkEnd w:id="1114"/>
          </w:p>
        </w:tc>
        <w:tc>
          <w:tcPr>
            <w:tcW w:w="635" w:type="dxa"/>
            <w:tcBorders/>
            <w:shd w:fill="FFFFFF" w:val="clear"/>
            <w:vAlign w:val="center"/>
          </w:tcPr>
          <w:p>
            <w:pPr>
              <w:pStyle w:val="TableContents"/>
              <w:bidi w:val="0"/>
              <w:spacing w:before="0" w:after="283"/>
              <w:jc w:val="right"/>
              <w:rPr/>
            </w:pPr>
            <w:r>
              <w:rPr/>
              <w:t>(0.05</w:t>
            </w:r>
          </w:p>
        </w:tc>
        <w:tc>
          <w:tcPr>
            <w:tcW w:w="305"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Poland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1115" w:name="xdx_40A_eus-gaap--IncomeTaxReconciliatio"/>
            <w:bookmarkEnd w:id="1115"/>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333,584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6" w:name="xdx_988_eus-gaap--EffectiveIncomeTaxRate"/>
            <w:bookmarkEnd w:id="1116"/>
          </w:p>
        </w:tc>
        <w:tc>
          <w:tcPr>
            <w:tcW w:w="635"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bookmarkStart w:id="1117" w:name="xdx_400_eus-gaap--IncomeTaxReconciliatio"/>
            <w:bookmarkEnd w:id="1117"/>
          </w:p>
        </w:tc>
      </w:tr>
      <w:tr>
        <w:trPr/>
        <w:tc>
          <w:tcPr>
            <w:tcW w:w="5750" w:type="dxa"/>
            <w:tcBorders/>
            <w:shd w:fill="FFFFFF" w:val="clear"/>
            <w:vAlign w:val="center"/>
          </w:tcPr>
          <w:p>
            <w:pPr>
              <w:pStyle w:val="TableContents"/>
              <w:bidi w:val="0"/>
              <w:spacing w:before="0" w:after="283"/>
              <w:jc w:val="left"/>
              <w:rPr/>
            </w:pPr>
            <w:r>
              <w:rPr/>
              <w:t>Foreign R&amp;D relief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(333,584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8" w:name="xdx_981_eus-gaap--EffectiveIncomeTaxRate"/>
            <w:bookmarkEnd w:id="1118"/>
          </w:p>
        </w:tc>
        <w:tc>
          <w:tcPr>
            <w:tcW w:w="635" w:type="dxa"/>
            <w:tcBorders/>
            <w:shd w:fill="FFFFFF" w:val="clear"/>
            <w:vAlign w:val="center"/>
          </w:tcPr>
          <w:p>
            <w:pPr>
              <w:pStyle w:val="TableContents"/>
              <w:bidi w:val="0"/>
              <w:spacing w:before="0" w:after="283"/>
              <w:jc w:val="right"/>
              <w:rPr/>
            </w:pPr>
            <w:r>
              <w:rPr/>
              <w:t>2.02</w:t>
            </w:r>
          </w:p>
        </w:tc>
        <w:tc>
          <w:tcPr>
            <w:tcW w:w="305" w:type="dxa"/>
            <w:tcBorders/>
            <w:shd w:fill="FFFFFF" w:val="clear"/>
            <w:vAlign w:val="center"/>
          </w:tcPr>
          <w:p>
            <w:pPr>
              <w:pStyle w:val="TableContents"/>
              <w:bidi w:val="0"/>
              <w:spacing w:before="0" w:after="283"/>
              <w:jc w:val="left"/>
              <w:rPr/>
            </w:pPr>
            <w:r>
              <w:rPr/>
              <w:t>%</w:t>
            </w:r>
            <w:bookmarkStart w:id="1119" w:name="xdx_40E_eus-gaap--IncomeTaxReconciliatio"/>
            <w:bookmarkEnd w:id="1119"/>
          </w:p>
        </w:tc>
      </w:tr>
      <w:tr>
        <w:trPr/>
        <w:tc>
          <w:tcPr>
            <w:tcW w:w="575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20" w:name="xdx_981_ecustom--EffectiveIncomeTaxRateR"/>
            <w:bookmarkEnd w:id="1120"/>
          </w:p>
        </w:tc>
        <w:tc>
          <w:tcPr>
            <w:tcW w:w="635" w:type="dxa"/>
            <w:tcBorders/>
            <w:shd w:fill="CCEEFF" w:val="clear"/>
            <w:vAlign w:val="center"/>
          </w:tcPr>
          <w:p>
            <w:pPr>
              <w:pStyle w:val="TableContents"/>
              <w:bidi w:val="0"/>
              <w:spacing w:before="0" w:after="283"/>
              <w:jc w:val="right"/>
              <w:rPr/>
            </w:pPr>
            <w:r>
              <w:rPr/>
              <w:t>0.36</w:t>
            </w:r>
          </w:p>
        </w:tc>
        <w:tc>
          <w:tcPr>
            <w:tcW w:w="305" w:type="dxa"/>
            <w:tcBorders/>
            <w:shd w:fill="CCEEFF" w:val="clear"/>
            <w:vAlign w:val="center"/>
          </w:tcPr>
          <w:p>
            <w:pPr>
              <w:pStyle w:val="TableContents"/>
              <w:bidi w:val="0"/>
              <w:spacing w:before="0" w:after="283"/>
              <w:jc w:val="left"/>
              <w:rPr/>
            </w:pPr>
            <w:r>
              <w:rPr/>
              <w:t>%</w:t>
            </w:r>
            <w:bookmarkStart w:id="1121" w:name="xdx_407_ecustom--IncomeTaxReconciliation"/>
            <w:bookmarkEnd w:id="1121"/>
          </w:p>
        </w:tc>
      </w:tr>
      <w:tr>
        <w:trPr/>
        <w:tc>
          <w:tcPr>
            <w:tcW w:w="5750" w:type="dxa"/>
            <w:tcBorders/>
            <w:shd w:fill="FFFFFF" w:val="clear"/>
            <w:vAlign w:val="center"/>
          </w:tcPr>
          <w:p>
            <w:pPr>
              <w:pStyle w:val="TableContents"/>
              <w:bidi w:val="0"/>
              <w:spacing w:before="0" w:after="283"/>
              <w:jc w:val="left"/>
              <w:rPr/>
            </w:pPr>
            <w:r>
              <w:rPr/>
              <w:t>Other foreign jurisdictions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22" w:name="xdx_980_eus-gaap--EffectiveIncomeTaxRate"/>
            <w:bookmarkEnd w:id="1122"/>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0.00</w:t>
            </w:r>
          </w:p>
        </w:tc>
        <w:tc>
          <w:tcPr>
            <w:tcW w:w="305" w:type="dxa"/>
            <w:tcBorders/>
            <w:shd w:fill="FFFFFF" w:val="clear"/>
            <w:vAlign w:val="center"/>
          </w:tcPr>
          <w:p>
            <w:pPr>
              <w:pStyle w:val="TableContents"/>
              <w:bidi w:val="0"/>
              <w:spacing w:before="0" w:after="283"/>
              <w:jc w:val="left"/>
              <w:rPr/>
            </w:pPr>
            <w:r>
              <w:rPr/>
              <w:t>%</w:t>
            </w:r>
            <w:bookmarkStart w:id="1123" w:name="xdx_406_eus-gaap--IncomeTaxExpenseBenefi"/>
            <w:bookmarkEnd w:id="1123"/>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10,688,900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24" w:name="xdx_98D_eus-gaap--EffectiveIncomeTaxRate"/>
            <w:bookmarkEnd w:id="1124"/>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(64.59</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25" w:name="xdx_8A3_zHW05d8bYWLj"/>
      <w:bookmarkEnd w:id="11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and local income taxes which comprise the majority of the state and local income taxes, net of federal effect category is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rate and effective rate for the year ended December 31, 2024, prior to adoption of ASU 2023-09, is as follows:</w:t>
      </w:r>
    </w:p>
    <w:p>
      <w:pPr>
        <w:pStyle w:val="TextBody"/>
        <w:bidi w:val="0"/>
        <w:spacing w:before="0" w:after="0"/>
        <w:ind w:left="0" w:right="0" w:hanging="0"/>
        <w:jc w:val="both"/>
        <w:rPr>
          <w:caps w:val="false"/>
          <w:smallCaps w:val="false"/>
        </w:rPr>
      </w:pPr>
      <w:bookmarkStart w:id="1126" w:name="xdx_C04_gL3SOEITRRTTB-MQKSU_zL2UfoO4W81i"/>
      <w:bookmarkEnd w:id="112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127" w:name="xdx_309_133_z8gU4GPFqBWa"/>
      <w:bookmarkStart w:id="1128" w:name="xdx_309_133_z8gU4GPFqBWa"/>
      <w:bookmarkEnd w:id="1128"/>
    </w:p>
    <w:tbl>
      <w:tblPr>
        <w:tblW w:w="4170" w:type="dxa"/>
        <w:jc w:val="left"/>
        <w:tblInd w:w="0" w:type="dxa"/>
        <w:tblLayout w:type="fixed"/>
        <w:tblCellMar>
          <w:top w:w="0" w:type="dxa"/>
          <w:left w:w="0" w:type="dxa"/>
          <w:bottom w:w="0" w:type="dxa"/>
          <w:right w:w="0" w:type="dxa"/>
        </w:tblCellMar>
      </w:tblPr>
      <w:tblGrid>
        <w:gridCol w:w="3110"/>
        <w:gridCol w:w="60"/>
        <w:gridCol w:w="60"/>
        <w:gridCol w:w="635"/>
        <w:gridCol w:w="30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9" w:name="xdx_495_20240101__20241231_z3Fyx8mELtfi"/>
            <w:bookmarkEnd w:id="1129"/>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05" w:type="dxa"/>
            <w:tcBorders/>
            <w:vAlign w:val="center"/>
          </w:tcPr>
          <w:p>
            <w:pPr>
              <w:pStyle w:val="TableContents"/>
              <w:bidi w:val="0"/>
              <w:spacing w:before="0" w:after="283"/>
              <w:jc w:val="left"/>
              <w:rPr/>
            </w:pPr>
            <w:r>
              <w:rPr/>
              <w:t> </w:t>
            </w:r>
            <w:bookmarkStart w:id="1130" w:name="xdx_401_eus-gaap--EffectiveIncomeTaxRate"/>
            <w:bookmarkEnd w:id="1130"/>
          </w:p>
        </w:tc>
      </w:tr>
      <w:tr>
        <w:trPr/>
        <w:tc>
          <w:tcPr>
            <w:tcW w:w="3110" w:type="dxa"/>
            <w:tcBorders/>
            <w:shd w:fill="CCEEFF" w:val="clear"/>
            <w:vAlign w:val="center"/>
          </w:tcPr>
          <w:p>
            <w:pPr>
              <w:pStyle w:val="TableContents"/>
              <w:bidi w:val="0"/>
              <w:spacing w:before="0" w:after="283"/>
              <w:jc w:val="left"/>
              <w:rPr/>
            </w:pPr>
            <w:r>
              <w:rPr/>
              <w:t>Federal statutory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21.00</w:t>
            </w:r>
          </w:p>
        </w:tc>
        <w:tc>
          <w:tcPr>
            <w:tcW w:w="305" w:type="dxa"/>
            <w:tcBorders/>
            <w:shd w:fill="CCEEFF" w:val="clear"/>
            <w:vAlign w:val="center"/>
          </w:tcPr>
          <w:p>
            <w:pPr>
              <w:pStyle w:val="TableContents"/>
              <w:bidi w:val="0"/>
              <w:spacing w:before="0" w:after="283"/>
              <w:jc w:val="left"/>
              <w:rPr/>
            </w:pPr>
            <w:r>
              <w:rPr/>
              <w:t>%</w:t>
            </w:r>
            <w:bookmarkStart w:id="1131" w:name="xdx_402_eus-gaap--EffectiveIncomeTaxRate"/>
            <w:bookmarkEnd w:id="1131"/>
          </w:p>
        </w:tc>
      </w:tr>
      <w:tr>
        <w:trPr/>
        <w:tc>
          <w:tcPr>
            <w:tcW w:w="311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11.94</w:t>
            </w:r>
          </w:p>
        </w:tc>
        <w:tc>
          <w:tcPr>
            <w:tcW w:w="305" w:type="dxa"/>
            <w:tcBorders/>
            <w:shd w:fill="FFFFFF" w:val="clear"/>
            <w:vAlign w:val="center"/>
          </w:tcPr>
          <w:p>
            <w:pPr>
              <w:pStyle w:val="TableContents"/>
              <w:bidi w:val="0"/>
              <w:spacing w:before="0" w:after="283"/>
              <w:jc w:val="left"/>
              <w:rPr/>
            </w:pPr>
            <w:r>
              <w:rPr/>
              <w:t>%</w:t>
            </w:r>
            <w:bookmarkStart w:id="1132" w:name="xdx_40C_eus-gaap--EffectiveIncomeTaxRate"/>
            <w:bookmarkEnd w:id="1132"/>
          </w:p>
        </w:tc>
      </w:tr>
      <w:tr>
        <w:trPr/>
        <w:tc>
          <w:tcPr>
            <w:tcW w:w="3110" w:type="dxa"/>
            <w:tcBorders/>
            <w:shd w:fill="CCEEFF" w:val="clear"/>
            <w:vAlign w:val="center"/>
          </w:tcPr>
          <w:p>
            <w:pPr>
              <w:pStyle w:val="TableContents"/>
              <w:bidi w:val="0"/>
              <w:spacing w:before="0" w:after="283"/>
              <w:jc w:val="left"/>
              <w:rPr/>
            </w:pPr>
            <w:r>
              <w:rPr/>
              <w:t>FIN 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1.01</w:t>
            </w:r>
          </w:p>
        </w:tc>
        <w:tc>
          <w:tcPr>
            <w:tcW w:w="305" w:type="dxa"/>
            <w:tcBorders/>
            <w:shd w:fill="CCEEFF" w:val="clear"/>
            <w:vAlign w:val="center"/>
          </w:tcPr>
          <w:p>
            <w:pPr>
              <w:pStyle w:val="TableContents"/>
              <w:bidi w:val="0"/>
              <w:spacing w:before="0" w:after="283"/>
              <w:jc w:val="left"/>
              <w:rPr/>
            </w:pPr>
            <w:r>
              <w:rPr/>
              <w:t>%</w:t>
            </w:r>
            <w:bookmarkStart w:id="1133" w:name="xdx_405_ecustom--EffectiveIncomeTaxRateR"/>
            <w:bookmarkEnd w:id="1133"/>
          </w:p>
        </w:tc>
      </w:tr>
      <w:tr>
        <w:trPr/>
        <w:tc>
          <w:tcPr>
            <w:tcW w:w="3110" w:type="dxa"/>
            <w:tcBorders/>
            <w:shd w:fill="FFFFFF" w:val="clear"/>
            <w:vAlign w:val="center"/>
          </w:tcPr>
          <w:p>
            <w:pPr>
              <w:pStyle w:val="TableContents"/>
              <w:bidi w:val="0"/>
              <w:spacing w:before="0" w:after="283"/>
              <w:jc w:val="left"/>
              <w:rPr/>
            </w:pPr>
            <w:r>
              <w:rPr/>
              <w:t>Return to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0.08</w:t>
            </w:r>
          </w:p>
        </w:tc>
        <w:tc>
          <w:tcPr>
            <w:tcW w:w="305" w:type="dxa"/>
            <w:tcBorders/>
            <w:shd w:fill="FFFFFF" w:val="clear"/>
            <w:vAlign w:val="center"/>
          </w:tcPr>
          <w:p>
            <w:pPr>
              <w:pStyle w:val="TableContents"/>
              <w:bidi w:val="0"/>
              <w:spacing w:before="0" w:after="283"/>
              <w:jc w:val="left"/>
              <w:rPr/>
            </w:pPr>
            <w:r>
              <w:rPr/>
              <w:t>%</w:t>
            </w:r>
            <w:bookmarkStart w:id="1134" w:name="xdx_40A_eus-gaap--EffectiveIncomeTaxRate"/>
            <w:bookmarkEnd w:id="1134"/>
          </w:p>
        </w:tc>
      </w:tr>
      <w:tr>
        <w:trPr/>
        <w:tc>
          <w:tcPr>
            <w:tcW w:w="3110" w:type="dxa"/>
            <w:tcBorders/>
            <w:shd w:fill="CCEEFF" w:val="clear"/>
            <w:vAlign w:val="center"/>
          </w:tcPr>
          <w:p>
            <w:pPr>
              <w:pStyle w:val="TableContents"/>
              <w:bidi w:val="0"/>
              <w:spacing w:before="0" w:after="283"/>
              <w:jc w:val="left"/>
              <w:rPr/>
            </w:pPr>
            <w:r>
              <w:rPr/>
              <w:t>GILTI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0.90</w:t>
            </w:r>
          </w:p>
        </w:tc>
        <w:tc>
          <w:tcPr>
            <w:tcW w:w="305" w:type="dxa"/>
            <w:tcBorders/>
            <w:shd w:fill="CCEEFF" w:val="clear"/>
            <w:vAlign w:val="center"/>
          </w:tcPr>
          <w:p>
            <w:pPr>
              <w:pStyle w:val="TableContents"/>
              <w:bidi w:val="0"/>
              <w:spacing w:before="0" w:after="283"/>
              <w:jc w:val="left"/>
              <w:rPr/>
            </w:pPr>
            <w:r>
              <w:rPr/>
              <w:t>%</w:t>
            </w:r>
            <w:bookmarkStart w:id="1135" w:name="xdx_404_eus-gaap--EffectiveIncomeTaxRate"/>
            <w:bookmarkEnd w:id="1135"/>
          </w:p>
        </w:tc>
      </w:tr>
      <w:tr>
        <w:trPr/>
        <w:tc>
          <w:tcPr>
            <w:tcW w:w="3110" w:type="dxa"/>
            <w:tcBorders/>
            <w:shd w:fill="FFFFFF" w:val="clear"/>
            <w:vAlign w:val="center"/>
          </w:tcPr>
          <w:p>
            <w:pPr>
              <w:pStyle w:val="TableContents"/>
              <w:bidi w:val="0"/>
              <w:spacing w:before="0" w:after="283"/>
              <w:jc w:val="left"/>
              <w:rPr/>
            </w:pPr>
            <w:r>
              <w:rPr/>
              <w:t>FDII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(6.80</w:t>
            </w:r>
          </w:p>
        </w:tc>
        <w:tc>
          <w:tcPr>
            <w:tcW w:w="305" w:type="dxa"/>
            <w:tcBorders/>
            <w:shd w:fill="FFFFFF" w:val="clear"/>
            <w:vAlign w:val="center"/>
          </w:tcPr>
          <w:p>
            <w:pPr>
              <w:pStyle w:val="TableContents"/>
              <w:bidi w:val="0"/>
              <w:spacing w:before="0" w:after="283"/>
              <w:jc w:val="left"/>
              <w:rPr/>
            </w:pPr>
            <w:r>
              <w:rPr/>
              <w:t>)%</w:t>
            </w:r>
            <w:bookmarkStart w:id="1136" w:name="xdx_402_eus-gaap--EffectiveIncomeTaxRate"/>
            <w:bookmarkEnd w:id="1136"/>
          </w:p>
        </w:tc>
      </w:tr>
      <w:tr>
        <w:trPr/>
        <w:tc>
          <w:tcPr>
            <w:tcW w:w="3110" w:type="dxa"/>
            <w:tcBorders/>
            <w:shd w:fill="CCEEFF" w:val="clear"/>
            <w:vAlign w:val="center"/>
          </w:tcPr>
          <w:p>
            <w:pPr>
              <w:pStyle w:val="TableContents"/>
              <w:bidi w:val="0"/>
              <w:spacing w:before="0" w:after="283"/>
              <w:jc w:val="left"/>
              <w:rPr/>
            </w:pPr>
            <w:r>
              <w:rPr/>
              <w:t>State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0.86</w:t>
            </w:r>
          </w:p>
        </w:tc>
        <w:tc>
          <w:tcPr>
            <w:tcW w:w="305" w:type="dxa"/>
            <w:tcBorders/>
            <w:shd w:fill="CCEEFF" w:val="clear"/>
            <w:vAlign w:val="center"/>
          </w:tcPr>
          <w:p>
            <w:pPr>
              <w:pStyle w:val="TableContents"/>
              <w:bidi w:val="0"/>
              <w:spacing w:before="0" w:after="283"/>
              <w:jc w:val="left"/>
              <w:rPr/>
            </w:pPr>
            <w:r>
              <w:rPr/>
              <w:t>%</w:t>
            </w:r>
            <w:bookmarkStart w:id="1137" w:name="xdx_400_eus-gaap--EffectiveIncomeTaxRate"/>
            <w:bookmarkEnd w:id="1137"/>
          </w:p>
        </w:tc>
      </w:tr>
      <w:tr>
        <w:trPr/>
        <w:tc>
          <w:tcPr>
            <w:tcW w:w="3110" w:type="dxa"/>
            <w:tcBorders/>
            <w:shd w:fill="FFFFFF" w:val="clear"/>
            <w:vAlign w:val="center"/>
          </w:tcPr>
          <w:p>
            <w:pPr>
              <w:pStyle w:val="TableContents"/>
              <w:bidi w:val="0"/>
              <w:spacing w:before="0" w:after="283"/>
              <w:jc w:val="left"/>
              <w:rPr/>
            </w:pPr>
            <w:r>
              <w:rPr/>
              <w:t>Foreign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0.19</w:t>
            </w:r>
          </w:p>
        </w:tc>
        <w:tc>
          <w:tcPr>
            <w:tcW w:w="305" w:type="dxa"/>
            <w:tcBorders/>
            <w:shd w:fill="FFFFFF" w:val="clear"/>
            <w:vAlign w:val="center"/>
          </w:tcPr>
          <w:p>
            <w:pPr>
              <w:pStyle w:val="TableContents"/>
              <w:bidi w:val="0"/>
              <w:spacing w:before="0" w:after="283"/>
              <w:jc w:val="left"/>
              <w:rPr/>
            </w:pPr>
            <w:r>
              <w:rPr/>
              <w:t>%</w:t>
            </w:r>
            <w:bookmarkStart w:id="1138" w:name="xdx_402_eus-gaap--EffectiveIncomeTaxRate"/>
            <w:bookmarkEnd w:id="1138"/>
          </w:p>
        </w:tc>
      </w:tr>
      <w:tr>
        <w:trPr/>
        <w:tc>
          <w:tcPr>
            <w:tcW w:w="3110" w:type="dxa"/>
            <w:tcBorders/>
            <w:shd w:fill="CCEEFF" w:val="clear"/>
            <w:vAlign w:val="center"/>
          </w:tcPr>
          <w:p>
            <w:pPr>
              <w:pStyle w:val="TableContents"/>
              <w:bidi w:val="0"/>
              <w:spacing w:before="0" w:after="283"/>
              <w:jc w:val="left"/>
              <w:rPr/>
            </w:pPr>
            <w:r>
              <w:rPr/>
              <w:t>R&amp;D credit true-up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(12.10</w:t>
            </w:r>
          </w:p>
        </w:tc>
        <w:tc>
          <w:tcPr>
            <w:tcW w:w="305" w:type="dxa"/>
            <w:tcBorders/>
            <w:shd w:fill="CCEEFF" w:val="clear"/>
            <w:vAlign w:val="center"/>
          </w:tcPr>
          <w:p>
            <w:pPr>
              <w:pStyle w:val="TableContents"/>
              <w:bidi w:val="0"/>
              <w:spacing w:before="0" w:after="283"/>
              <w:jc w:val="left"/>
              <w:rPr/>
            </w:pPr>
            <w:r>
              <w:rPr/>
              <w:t>)%</w:t>
            </w:r>
            <w:bookmarkStart w:id="1139" w:name="xdx_409_eus-gaap--EffectiveIncomeTaxRate"/>
            <w:bookmarkEnd w:id="1139"/>
          </w:p>
        </w:tc>
      </w:tr>
      <w:tr>
        <w:trPr/>
        <w:tc>
          <w:tcPr>
            <w:tcW w:w="3110" w:type="dxa"/>
            <w:tcBorders/>
            <w:shd w:fill="FFFFFF" w:val="clear"/>
            <w:vAlign w:val="center"/>
          </w:tcPr>
          <w:p>
            <w:pPr>
              <w:pStyle w:val="TableContents"/>
              <w:bidi w:val="0"/>
              <w:spacing w:before="0" w:after="283"/>
              <w:jc w:val="left"/>
              <w:rPr/>
            </w:pPr>
            <w:r>
              <w:rPr/>
              <w:t>Rate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(5.36</w:t>
            </w:r>
          </w:p>
        </w:tc>
        <w:tc>
          <w:tcPr>
            <w:tcW w:w="305" w:type="dxa"/>
            <w:tcBorders/>
            <w:shd w:fill="FFFFFF" w:val="clear"/>
            <w:vAlign w:val="center"/>
          </w:tcPr>
          <w:p>
            <w:pPr>
              <w:pStyle w:val="TableContents"/>
              <w:bidi w:val="0"/>
              <w:spacing w:before="0" w:after="283"/>
              <w:jc w:val="left"/>
              <w:rPr/>
            </w:pPr>
            <w:r>
              <w:rPr/>
              <w:t>)%</w:t>
            </w:r>
            <w:bookmarkStart w:id="1140" w:name="xdx_400_ecustom--EffectiveIncomeTaxRateR"/>
            <w:bookmarkEnd w:id="1140"/>
          </w:p>
        </w:tc>
      </w:tr>
      <w:tr>
        <w:trPr/>
        <w:tc>
          <w:tcPr>
            <w:tcW w:w="3110" w:type="dxa"/>
            <w:tcBorders/>
            <w:shd w:fill="CCEEFF" w:val="clear"/>
            <w:vAlign w:val="center"/>
          </w:tcPr>
          <w:p>
            <w:pPr>
              <w:pStyle w:val="TableContents"/>
              <w:bidi w:val="0"/>
              <w:spacing w:before="0" w:after="283"/>
              <w:jc w:val="left"/>
              <w:rPr/>
            </w:pPr>
            <w:r>
              <w:rPr/>
              <w:t>Penalties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1.32</w:t>
            </w:r>
          </w:p>
        </w:tc>
        <w:tc>
          <w:tcPr>
            <w:tcW w:w="305" w:type="dxa"/>
            <w:tcBorders/>
            <w:shd w:fill="CCEEFF" w:val="clear"/>
            <w:vAlign w:val="center"/>
          </w:tcPr>
          <w:p>
            <w:pPr>
              <w:pStyle w:val="TableContents"/>
              <w:bidi w:val="0"/>
              <w:spacing w:before="0" w:after="283"/>
              <w:jc w:val="left"/>
              <w:rPr/>
            </w:pPr>
            <w:r>
              <w:rPr/>
              <w:t>%</w:t>
            </w:r>
            <w:bookmarkStart w:id="1141" w:name="xdx_40D_ecustom--EffectiveIncomeTaxRateR"/>
            <w:bookmarkEnd w:id="1141"/>
          </w:p>
        </w:tc>
      </w:tr>
      <w:tr>
        <w:trPr/>
        <w:tc>
          <w:tcPr>
            <w:tcW w:w="3110" w:type="dxa"/>
            <w:tcBorders/>
            <w:shd w:fill="FFFFFF" w:val="clear"/>
            <w:vAlign w:val="center"/>
          </w:tcPr>
          <w:p>
            <w:pPr>
              <w:pStyle w:val="TableContents"/>
              <w:bidi w:val="0"/>
              <w:spacing w:before="0" w:after="283"/>
              <w:jc w:val="left"/>
              <w:rPr/>
            </w:pPr>
            <w:r>
              <w:rPr/>
              <w:t>Warrant revaluation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11.38</w:t>
            </w:r>
          </w:p>
        </w:tc>
        <w:tc>
          <w:tcPr>
            <w:tcW w:w="305" w:type="dxa"/>
            <w:tcBorders/>
            <w:shd w:fill="FFFFFF" w:val="clear"/>
            <w:vAlign w:val="center"/>
          </w:tcPr>
          <w:p>
            <w:pPr>
              <w:pStyle w:val="TableContents"/>
              <w:bidi w:val="0"/>
              <w:spacing w:before="0" w:after="283"/>
              <w:jc w:val="left"/>
              <w:rPr/>
            </w:pPr>
            <w:r>
              <w:rPr/>
              <w:t>%</w:t>
            </w:r>
            <w:bookmarkStart w:id="1142" w:name="xdx_401_eus-gaap--EffectiveIncomeTaxRate"/>
            <w:bookmarkEnd w:id="1142"/>
          </w:p>
        </w:tc>
      </w:tr>
      <w:tr>
        <w:trPr/>
        <w:tc>
          <w:tcPr>
            <w:tcW w:w="311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305" w:type="dxa"/>
            <w:tcBorders/>
            <w:shd w:fill="CCEEFF" w:val="clear"/>
            <w:vAlign w:val="center"/>
          </w:tcPr>
          <w:p>
            <w:pPr>
              <w:pStyle w:val="TableContents"/>
              <w:bidi w:val="0"/>
              <w:spacing w:before="0" w:after="283"/>
              <w:jc w:val="left"/>
              <w:rPr/>
            </w:pPr>
            <w:r>
              <w:rPr/>
              <w:t>%</w:t>
            </w:r>
            <w:bookmarkStart w:id="1143" w:name="xdx_40C_eus-gaap--EffectiveIncomeTaxRate"/>
            <w:bookmarkEnd w:id="1143"/>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25.72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44" w:name="xdx_C0E_gL3SOEITRRTTB-MQKSU_zynANLTs90g6"/>
      <w:bookmarkEnd w:id="11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expense of $</w:t>
      </w:r>
      <w:bookmarkStart w:id="1145" w:name="xdx_902_eus-gaap--IncomeTaxExpenseBenefi"/>
      <w:bookmarkEnd w:id="1145"/>
      <w:r>
        <w:rPr>
          <w:rFonts w:ascii="Times New Roman;Times;Serif" w:hAnsi="Times New Roman;Times;Serif"/>
          <w:b w:val="false"/>
          <w:i w:val="false"/>
          <w:caps w:val="false"/>
          <w:smallCaps w:val="false"/>
          <w:sz w:val="20"/>
        </w:rPr>
        <w:t>10,688,900 and $</w:t>
      </w:r>
      <w:bookmarkStart w:id="1146" w:name="xdx_90E_eus-gaap--IncomeTaxExpenseBenefi"/>
      <w:bookmarkEnd w:id="1146"/>
      <w:r>
        <w:rPr>
          <w:rFonts w:ascii="Times New Roman;Times;Serif" w:hAnsi="Times New Roman;Times;Serif"/>
          <w:b w:val="false"/>
          <w:i w:val="false"/>
          <w:caps w:val="false"/>
          <w:smallCaps w:val="false"/>
          <w:sz w:val="20"/>
        </w:rPr>
        <w:t xml:space="preserve">632,124 for the years ended December 31, 2025 and 2024, respectively; and reflects a tax rate of </w:t>
      </w:r>
      <w:bookmarkStart w:id="1147" w:name="xdx_90E_eus-gaap--EffectiveIncomeTaxRate"/>
      <w:bookmarkEnd w:id="1147"/>
      <w:r>
        <w:rPr>
          <w:rFonts w:ascii="Times New Roman;Times;Serif" w:hAnsi="Times New Roman;Times;Serif"/>
          <w:b w:val="false"/>
          <w:i w:val="false"/>
          <w:caps w:val="false"/>
          <w:smallCaps w:val="false"/>
          <w:sz w:val="20"/>
        </w:rPr>
        <w:t xml:space="preserve">(64.59)(64.6)% and </w:t>
      </w:r>
      <w:bookmarkStart w:id="1148" w:name="xdx_90E_eus-gaap--EffectiveIncomeTaxRate"/>
      <w:bookmarkEnd w:id="1148"/>
      <w:r>
        <w:rPr>
          <w:rFonts w:ascii="Times New Roman;Times;Serif" w:hAnsi="Times New Roman;Times;Serif"/>
          <w:b w:val="false"/>
          <w:i w:val="false"/>
          <w:caps w:val="false"/>
          <w:smallCaps w:val="false"/>
          <w:sz w:val="20"/>
        </w:rPr>
        <w:t>25.7225.7%, respectively. The negative effective tax rate in 2025 is primarily due to the Company recording a full valuation allowance against its net deferred tax assets since it is more likely than not that the net deferred tax assets will not be realized. As of December 31, 2024, the Company’s effective tax rate differed from the federal statutory rate of 21% primarily due to foreign research and development deduction, permanent differences, changes in valuation allowance and change in warrant revaluation.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9" w:name="xdx_89F_eus-gaap--ScheduleOfDeferredTaxA"/>
      <w:bookmarkEnd w:id="1149"/>
      <w:r>
        <w:rPr>
          <w:rFonts w:ascii="Times New Roman;Times;Serif" w:hAnsi="Times New Roman;Times;Serif"/>
          <w:b w:val="false"/>
          <w:i w:val="false"/>
          <w:caps w:val="false"/>
          <w:smallCaps w:val="false"/>
          <w:sz w:val="20"/>
        </w:rPr>
        <w:t>The tax effects of temporary differences that give rise to significant portions of the deferred tax assets and liabilities consisted of the following as of December 31, 2025 and 2024:</w:t>
      </w:r>
    </w:p>
    <w:p>
      <w:pPr>
        <w:pStyle w:val="TextBody"/>
        <w:bidi w:val="0"/>
        <w:spacing w:before="0" w:after="0"/>
        <w:ind w:left="0" w:right="0" w:hanging="0"/>
        <w:jc w:val="both"/>
        <w:rPr>
          <w:caps w:val="false"/>
          <w:smallCaps w:val="false"/>
        </w:rPr>
      </w:pPr>
      <w:r>
        <w:rPr>
          <w:caps w:val="false"/>
          <w:smallCaps w:val="false"/>
        </w:rPr>
        <w:t> </w:t>
      </w:r>
      <w:bookmarkStart w:id="1150" w:name="xdx_8BA_zLEyXZRVc4Y5"/>
      <w:bookmarkEnd w:id="1150"/>
      <w:r>
        <w:rPr>
          <w:rFonts w:ascii="Times New Roman;Times;Serif" w:hAnsi="Times New Roman;Times;Serif"/>
          <w:b w:val="false"/>
          <w:i w:val="false"/>
          <w:caps w:val="false"/>
          <w:smallCaps w:val="false"/>
          <w:sz w:val="20"/>
        </w:rPr>
        <w:t>SCHEDULE OF DEFERRED TAX ASSETS AND LIABILITIES</w:t>
      </w:r>
    </w:p>
    <w:tbl>
      <w:tblPr>
        <w:tblW w:w="8885" w:type="dxa"/>
        <w:jc w:val="left"/>
        <w:tblInd w:w="0" w:type="dxa"/>
        <w:tblLayout w:type="fixed"/>
        <w:tblCellMar>
          <w:top w:w="0" w:type="dxa"/>
          <w:left w:w="0" w:type="dxa"/>
          <w:bottom w:w="0" w:type="dxa"/>
          <w:right w:w="0" w:type="dxa"/>
        </w:tblCellMar>
      </w:tblPr>
      <w:tblGrid>
        <w:gridCol w:w="6005"/>
        <w:gridCol w:w="60"/>
        <w:gridCol w:w="140"/>
        <w:gridCol w:w="1175"/>
        <w:gridCol w:w="95"/>
        <w:gridCol w:w="60"/>
        <w:gridCol w:w="140"/>
        <w:gridCol w:w="1100"/>
        <w:gridCol w:w="11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1" w:name="xdx_49D_20251231_zODfNBMAmVIl"/>
            <w:bookmarkEnd w:id="1151"/>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2" w:name="xdx_496_20241231_zNfmeq0ewrq4"/>
            <w:bookmarkEnd w:id="115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Deferred tax assets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3" w:name="xdx_40D_eus-gaap--DeferredTaxAssetsOpera"/>
            <w:bookmarkEnd w:id="1153"/>
          </w:p>
        </w:tc>
      </w:tr>
      <w:tr>
        <w:trPr/>
        <w:tc>
          <w:tcPr>
            <w:tcW w:w="6005"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8,448,643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6,414,780</w:t>
            </w:r>
          </w:p>
        </w:tc>
        <w:tc>
          <w:tcPr>
            <w:tcW w:w="110" w:type="dxa"/>
            <w:tcBorders/>
            <w:shd w:fill="FFFFFF" w:val="clear"/>
            <w:vAlign w:val="center"/>
          </w:tcPr>
          <w:p>
            <w:pPr>
              <w:pStyle w:val="TableContents"/>
              <w:bidi w:val="0"/>
              <w:spacing w:before="0" w:after="283"/>
              <w:jc w:val="left"/>
              <w:rPr/>
            </w:pPr>
            <w:r>
              <w:rPr/>
              <w:t> </w:t>
            </w:r>
            <w:bookmarkStart w:id="1154" w:name="xdx_40D_eus-gaap--DeferredTaxAssetsDefer"/>
            <w:bookmarkEnd w:id="1154"/>
          </w:p>
        </w:tc>
      </w:tr>
      <w:tr>
        <w:trPr/>
        <w:tc>
          <w:tcPr>
            <w:tcW w:w="600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5,092,174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3,792,971</w:t>
            </w:r>
          </w:p>
        </w:tc>
        <w:tc>
          <w:tcPr>
            <w:tcW w:w="110" w:type="dxa"/>
            <w:tcBorders/>
            <w:shd w:fill="CCEEFF" w:val="clear"/>
            <w:vAlign w:val="center"/>
          </w:tcPr>
          <w:p>
            <w:pPr>
              <w:pStyle w:val="TableContents"/>
              <w:bidi w:val="0"/>
              <w:spacing w:before="0" w:after="283"/>
              <w:jc w:val="left"/>
              <w:rPr/>
            </w:pPr>
            <w:r>
              <w:rPr/>
              <w:t> </w:t>
            </w:r>
            <w:bookmarkStart w:id="1155" w:name="xdx_401_eus-gaap--DeferredTaxAssetsTaxCr"/>
            <w:bookmarkEnd w:id="1155"/>
          </w:p>
        </w:tc>
      </w:tr>
      <w:tr>
        <w:trPr/>
        <w:tc>
          <w:tcPr>
            <w:tcW w:w="6005" w:type="dxa"/>
            <w:tcBorders/>
            <w:shd w:fill="FFFFFF" w:val="clear"/>
            <w:vAlign w:val="center"/>
          </w:tcPr>
          <w:p>
            <w:pPr>
              <w:pStyle w:val="TableContents"/>
              <w:bidi w:val="0"/>
              <w:spacing w:before="0" w:after="283"/>
              <w:jc w:val="left"/>
              <w:rPr/>
            </w:pPr>
            <w:r>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1,334,061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945,554</w:t>
            </w:r>
          </w:p>
        </w:tc>
        <w:tc>
          <w:tcPr>
            <w:tcW w:w="110" w:type="dxa"/>
            <w:tcBorders/>
            <w:shd w:fill="FFFFFF" w:val="clear"/>
            <w:vAlign w:val="center"/>
          </w:tcPr>
          <w:p>
            <w:pPr>
              <w:pStyle w:val="TableContents"/>
              <w:bidi w:val="0"/>
              <w:spacing w:before="0" w:after="283"/>
              <w:jc w:val="left"/>
              <w:rPr/>
            </w:pPr>
            <w:r>
              <w:rPr/>
              <w:t> </w:t>
            </w:r>
            <w:bookmarkStart w:id="1156" w:name="xdx_400_ecustom--DeferredTaxAssetsLeaseL"/>
            <w:bookmarkEnd w:id="1156"/>
          </w:p>
        </w:tc>
      </w:tr>
      <w:tr>
        <w:trPr/>
        <w:tc>
          <w:tcPr>
            <w:tcW w:w="6005" w:type="dxa"/>
            <w:tcBorders/>
            <w:shd w:fill="CCEEFF" w:val="clear"/>
            <w:vAlign w:val="center"/>
          </w:tcPr>
          <w:p>
            <w:pPr>
              <w:pStyle w:val="TableContents"/>
              <w:bidi w:val="0"/>
              <w:spacing w:before="0" w:after="283"/>
              <w:jc w:val="left"/>
              <w:rPr/>
            </w:pPr>
            <w:r>
              <w:rPr/>
              <w:t>Book lease liability (ASC 842)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1,031,883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337,056</w:t>
            </w:r>
          </w:p>
        </w:tc>
        <w:tc>
          <w:tcPr>
            <w:tcW w:w="110" w:type="dxa"/>
            <w:tcBorders/>
            <w:shd w:fill="CCEEFF" w:val="clear"/>
            <w:vAlign w:val="center"/>
          </w:tcPr>
          <w:p>
            <w:pPr>
              <w:pStyle w:val="TableContents"/>
              <w:bidi w:val="0"/>
              <w:spacing w:before="0" w:after="283"/>
              <w:jc w:val="left"/>
              <w:rPr/>
            </w:pPr>
            <w:r>
              <w:rPr/>
              <w:t> </w:t>
            </w:r>
            <w:bookmarkStart w:id="1157" w:name="xdx_405_ecustom--DeferredTaxAssetsFixedA"/>
            <w:bookmarkEnd w:id="1157"/>
          </w:p>
        </w:tc>
      </w:tr>
      <w:tr>
        <w:trPr/>
        <w:tc>
          <w:tcPr>
            <w:tcW w:w="6005" w:type="dxa"/>
            <w:tcBorders/>
            <w:shd w:fill="FFFFFF" w:val="clear"/>
            <w:vAlign w:val="center"/>
          </w:tcPr>
          <w:p>
            <w:pPr>
              <w:pStyle w:val="TableContents"/>
              <w:bidi w:val="0"/>
              <w:spacing w:before="0" w:after="283"/>
              <w:jc w:val="left"/>
              <w:rPr/>
            </w:pPr>
            <w:r>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337,981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314,109</w:t>
            </w:r>
          </w:p>
        </w:tc>
        <w:tc>
          <w:tcPr>
            <w:tcW w:w="110" w:type="dxa"/>
            <w:tcBorders/>
            <w:shd w:fill="FFFFFF" w:val="clear"/>
            <w:vAlign w:val="center"/>
          </w:tcPr>
          <w:p>
            <w:pPr>
              <w:pStyle w:val="TableContents"/>
              <w:bidi w:val="0"/>
              <w:spacing w:before="0" w:after="283"/>
              <w:jc w:val="left"/>
              <w:rPr/>
            </w:pPr>
            <w:r>
              <w:rPr/>
              <w:t> </w:t>
            </w:r>
            <w:bookmarkStart w:id="1158" w:name="xdx_405_eus-gaap--DeferredTaxAssetsInPro"/>
            <w:bookmarkEnd w:id="1158"/>
          </w:p>
        </w:tc>
      </w:tr>
      <w:tr>
        <w:trPr/>
        <w:tc>
          <w:tcPr>
            <w:tcW w:w="6005" w:type="dxa"/>
            <w:tcBorders/>
            <w:shd w:fill="CCEEFF" w:val="clear"/>
            <w:vAlign w:val="center"/>
          </w:tcPr>
          <w:p>
            <w:pPr>
              <w:pStyle w:val="TableContents"/>
              <w:bidi w:val="0"/>
              <w:spacing w:before="0" w:after="283"/>
              <w:jc w:val="left"/>
              <w:rPr/>
            </w:pPr>
            <w:r>
              <w:rPr/>
              <w:t>Section 174 capitalized research and experimental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4,569,252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4,641,794</w:t>
            </w:r>
          </w:p>
        </w:tc>
        <w:tc>
          <w:tcPr>
            <w:tcW w:w="110" w:type="dxa"/>
            <w:tcBorders/>
            <w:shd w:fill="CCEEFF" w:val="clear"/>
            <w:vAlign w:val="center"/>
          </w:tcPr>
          <w:p>
            <w:pPr>
              <w:pStyle w:val="TableContents"/>
              <w:bidi w:val="0"/>
              <w:spacing w:before="0" w:after="283"/>
              <w:jc w:val="left"/>
              <w:rPr/>
            </w:pPr>
            <w:r>
              <w:rPr/>
              <w:t> </w:t>
            </w:r>
            <w:bookmarkStart w:id="1159" w:name="xdx_40E_eus-gaap--DeferredTaxAssetsTaxDe"/>
            <w:bookmarkEnd w:id="1159"/>
          </w:p>
        </w:tc>
      </w:tr>
      <w:tr>
        <w:trPr/>
        <w:tc>
          <w:tcPr>
            <w:tcW w:w="600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242</w:t>
            </w:r>
          </w:p>
        </w:tc>
        <w:tc>
          <w:tcPr>
            <w:tcW w:w="110" w:type="dxa"/>
            <w:tcBorders/>
            <w:shd w:fill="FFFFFF" w:val="clear"/>
            <w:vAlign w:val="center"/>
          </w:tcPr>
          <w:p>
            <w:pPr>
              <w:pStyle w:val="TableContents"/>
              <w:bidi w:val="0"/>
              <w:spacing w:before="0" w:after="283"/>
              <w:jc w:val="left"/>
              <w:rPr/>
            </w:pPr>
            <w:r>
              <w:rPr/>
              <w:t> </w:t>
            </w:r>
            <w:bookmarkStart w:id="1160" w:name="xdx_40A_eus-gaap--DeferredTaxAssetsOther"/>
            <w:bookmarkEnd w:id="1160"/>
          </w:p>
        </w:tc>
      </w:tr>
      <w:tr>
        <w:trPr/>
        <w:tc>
          <w:tcPr>
            <w:tcW w:w="600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1,024,371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907,859</w:t>
            </w:r>
          </w:p>
        </w:tc>
        <w:tc>
          <w:tcPr>
            <w:tcW w:w="110" w:type="dxa"/>
            <w:tcBorders/>
            <w:shd w:fill="CCEEFF" w:val="clear"/>
            <w:vAlign w:val="center"/>
          </w:tcPr>
          <w:p>
            <w:pPr>
              <w:pStyle w:val="TableContents"/>
              <w:bidi w:val="0"/>
              <w:spacing w:before="0" w:after="283"/>
              <w:jc w:val="left"/>
              <w:rPr/>
            </w:pPr>
            <w:r>
              <w:rPr/>
              <w:t> </w:t>
            </w:r>
            <w:bookmarkStart w:id="1161" w:name="xdx_40F_eus-gaap--DeferredTaxAssetsGross"/>
            <w:bookmarkEnd w:id="1161"/>
          </w:p>
        </w:tc>
      </w:tr>
      <w:tr>
        <w:trPr/>
        <w:tc>
          <w:tcPr>
            <w:tcW w:w="600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21,839,800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17,354,365</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Deferred tax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2" w:name="xdx_40B_ecustom--DeferredTaxLiabilitiesR"/>
            <w:bookmarkEnd w:id="1162"/>
          </w:p>
        </w:tc>
      </w:tr>
      <w:tr>
        <w:trPr/>
        <w:tc>
          <w:tcPr>
            <w:tcW w:w="6005" w:type="dxa"/>
            <w:tcBorders/>
            <w:shd w:fill="FFFFFF" w:val="clear"/>
            <w:vAlign w:val="center"/>
          </w:tcPr>
          <w:p>
            <w:pPr>
              <w:pStyle w:val="TableContents"/>
              <w:bidi w:val="0"/>
              <w:spacing w:before="0" w:after="283"/>
              <w:jc w:val="left"/>
              <w:rPr/>
            </w:pPr>
            <w:r>
              <w:rPr/>
              <w:t>Book ROU assets (ASC 842)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(1,030,286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(287,017</w:t>
            </w:r>
          </w:p>
        </w:tc>
        <w:tc>
          <w:tcPr>
            <w:tcW w:w="110" w:type="dxa"/>
            <w:tcBorders/>
            <w:shd w:fill="FFFFFF" w:val="clear"/>
            <w:vAlign w:val="center"/>
          </w:tcPr>
          <w:p>
            <w:pPr>
              <w:pStyle w:val="TableContents"/>
              <w:bidi w:val="0"/>
              <w:spacing w:before="0" w:after="283"/>
              <w:jc w:val="left"/>
              <w:rPr/>
            </w:pPr>
            <w:r>
              <w:rPr/>
              <w:t>)</w:t>
            </w:r>
            <w:bookmarkStart w:id="1163" w:name="xdx_405_eus-gaap--DeferredTaxLiabilities"/>
            <w:bookmarkEnd w:id="1163"/>
          </w:p>
        </w:tc>
      </w:tr>
      <w:tr>
        <w:trPr/>
        <w:tc>
          <w:tcPr>
            <w:tcW w:w="6005" w:type="dxa"/>
            <w:tcBorders/>
            <w:shd w:fill="CCEEFF" w:val="clear"/>
            <w:vAlign w:val="center"/>
          </w:tcPr>
          <w:p>
            <w:pPr>
              <w:pStyle w:val="TableContents"/>
              <w:bidi w:val="0"/>
              <w:spacing w:before="0" w:after="283"/>
              <w:jc w:val="left"/>
              <w:rPr/>
            </w:pPr>
            <w:r>
              <w:rPr/>
              <w:t>Basis difference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(798,276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(820,883</w:t>
            </w:r>
          </w:p>
        </w:tc>
        <w:tc>
          <w:tcPr>
            <w:tcW w:w="110" w:type="dxa"/>
            <w:tcBorders/>
            <w:shd w:fill="CCEEFF" w:val="clear"/>
            <w:vAlign w:val="center"/>
          </w:tcPr>
          <w:p>
            <w:pPr>
              <w:pStyle w:val="TableContents"/>
              <w:bidi w:val="0"/>
              <w:spacing w:before="0" w:after="283"/>
              <w:jc w:val="left"/>
              <w:rPr/>
            </w:pPr>
            <w:r>
              <w:rPr/>
              <w:t>)</w:t>
            </w:r>
            <w:bookmarkStart w:id="1164" w:name="xdx_404_eus-gaap--DeferredIncomeTaxLiabi"/>
            <w:bookmarkEnd w:id="1164"/>
          </w:p>
        </w:tc>
      </w:tr>
      <w:tr>
        <w:trPr/>
        <w:tc>
          <w:tcPr>
            <w:tcW w:w="6005"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(1,828,562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(1,107,900</w:t>
            </w:r>
          </w:p>
        </w:tc>
        <w:tc>
          <w:tcPr>
            <w:tcW w:w="110" w:type="dxa"/>
            <w:tcBorders/>
            <w:shd w:fill="FFFFFF" w:val="clear"/>
            <w:vAlign w:val="center"/>
          </w:tcPr>
          <w:p>
            <w:pPr>
              <w:pStyle w:val="TableContents"/>
              <w:bidi w:val="0"/>
              <w:spacing w:before="0" w:after="283"/>
              <w:jc w:val="left"/>
              <w:rPr/>
            </w:pPr>
            <w:r>
              <w:rPr/>
              <w:t>)</w:t>
            </w:r>
            <w:bookmarkStart w:id="1165" w:name="xdx_40D_ecustom--DeferredTaxAssetsBefore"/>
            <w:bookmarkEnd w:id="1165"/>
          </w:p>
        </w:tc>
      </w:tr>
      <w:tr>
        <w:trPr/>
        <w:tc>
          <w:tcPr>
            <w:tcW w:w="6005" w:type="dxa"/>
            <w:tcBorders/>
            <w:shd w:fill="CCEEFF" w:val="clear"/>
            <w:vAlign w:val="center"/>
          </w:tcPr>
          <w:p>
            <w:pPr>
              <w:pStyle w:val="TableContents"/>
              <w:bidi w:val="0"/>
              <w:spacing w:before="0" w:after="283"/>
              <w:jc w:val="left"/>
              <w:rPr/>
            </w:pPr>
            <w:r>
              <w:rPr/>
              <w:t>Long-term deferred tax 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20,011,238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16,246,465</w:t>
            </w:r>
          </w:p>
        </w:tc>
        <w:tc>
          <w:tcPr>
            <w:tcW w:w="110" w:type="dxa"/>
            <w:tcBorders/>
            <w:shd w:fill="CCEEFF" w:val="clear"/>
            <w:vAlign w:val="center"/>
          </w:tcPr>
          <w:p>
            <w:pPr>
              <w:pStyle w:val="TableContents"/>
              <w:bidi w:val="0"/>
              <w:spacing w:before="0" w:after="283"/>
              <w:jc w:val="left"/>
              <w:rPr/>
            </w:pPr>
            <w:r>
              <w:rPr/>
              <w:t> </w:t>
            </w:r>
            <w:bookmarkStart w:id="1166" w:name="xdx_404_eus-gaap--DeferredTaxAssetsValua"/>
            <w:bookmarkEnd w:id="1166"/>
          </w:p>
        </w:tc>
      </w:tr>
      <w:tr>
        <w:trPr/>
        <w:tc>
          <w:tcPr>
            <w:tcW w:w="6005"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(20,011,238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(5,429,353</w:t>
            </w:r>
          </w:p>
        </w:tc>
        <w:tc>
          <w:tcPr>
            <w:tcW w:w="110" w:type="dxa"/>
            <w:tcBorders/>
            <w:shd w:fill="FFFFFF" w:val="clear"/>
            <w:vAlign w:val="center"/>
          </w:tcPr>
          <w:p>
            <w:pPr>
              <w:pStyle w:val="TableContents"/>
              <w:bidi w:val="0"/>
              <w:spacing w:before="0" w:after="283"/>
              <w:jc w:val="left"/>
              <w:rPr/>
            </w:pPr>
            <w:r>
              <w:rPr/>
              <w:t>)</w:t>
            </w:r>
            <w:bookmarkStart w:id="1167" w:name="xdx_402_eus-gaap--DeferredTaxAssetsLiabi"/>
            <w:bookmarkEnd w:id="1167"/>
          </w:p>
        </w:tc>
      </w:tr>
      <w:tr>
        <w:trPr/>
        <w:tc>
          <w:tcPr>
            <w:tcW w:w="6005" w:type="dxa"/>
            <w:tcBorders/>
            <w:shd w:fill="CCEEFF" w:val="clear"/>
            <w:vAlign w:val="center"/>
          </w:tcPr>
          <w:p>
            <w:pPr>
              <w:pStyle w:val="TableContents"/>
              <w:bidi w:val="0"/>
              <w:spacing w:before="0" w:after="283"/>
              <w:jc w:val="left"/>
              <w:rPr/>
            </w:pPr>
            <w:r>
              <w:rPr/>
              <w:t>Net deferred tax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10,817,112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68" w:name="xdx_8A9_zS12dVAPJ3wi"/>
      <w:bookmarkEnd w:id="11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9" w:name="xdx_895_eus-gaap--ScheduleOfCashFlowSupp"/>
      <w:bookmarkEnd w:id="1169"/>
      <w:r>
        <w:rPr>
          <w:rFonts w:ascii="Times New Roman;Times;Serif" w:hAnsi="Times New Roman;Times;Serif"/>
          <w:b w:val="false"/>
          <w:i w:val="false"/>
          <w:caps w:val="false"/>
          <w:smallCaps w:val="false"/>
          <w:sz w:val="20"/>
        </w:rPr>
        <w:t>The cash paid for income taxes (net of refunds) during the years as of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1170" w:name="xdx_8B4_zGlpiMKT5kN7"/>
      <w:bookmarkEnd w:id="1170"/>
      <w:r>
        <w:rPr>
          <w:rFonts w:ascii="Times New Roman;Times;Serif" w:hAnsi="Times New Roman;Times;Serif"/>
          <w:b w:val="false"/>
          <w:i w:val="false"/>
          <w:caps w:val="false"/>
          <w:smallCaps w:val="false"/>
          <w:sz w:val="20"/>
        </w:rPr>
        <w:t>SCHEDULE OF CASH PAID FOR INCOME TAXES</w:t>
      </w:r>
    </w:p>
    <w:tbl>
      <w:tblPr>
        <w:tblW w:w="8120" w:type="dxa"/>
        <w:jc w:val="left"/>
        <w:tblInd w:w="0" w:type="dxa"/>
        <w:tblLayout w:type="fixed"/>
        <w:tblCellMar>
          <w:top w:w="0" w:type="dxa"/>
          <w:left w:w="0" w:type="dxa"/>
          <w:bottom w:w="0" w:type="dxa"/>
          <w:right w:w="0" w:type="dxa"/>
        </w:tblCellMar>
      </w:tblPr>
      <w:tblGrid>
        <w:gridCol w:w="5405"/>
        <w:gridCol w:w="60"/>
        <w:gridCol w:w="140"/>
        <w:gridCol w:w="1055"/>
        <w:gridCol w:w="95"/>
        <w:gridCol w:w="60"/>
        <w:gridCol w:w="140"/>
        <w:gridCol w:w="1055"/>
        <w:gridCol w:w="11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1" w:name="xdx_499_20250101__20251231_zBLB5ljGkX59"/>
            <w:bookmarkEnd w:id="117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2" w:name="xdx_495_20240101__20241231_zKnoYcNDLCgg"/>
            <w:bookmarkEnd w:id="117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173" w:name="xdx_40A_eus-gaap--IncomeTaxPaidFederalAf"/>
            <w:bookmarkEnd w:id="1173"/>
          </w:p>
        </w:tc>
      </w:tr>
      <w:tr>
        <w:trPr/>
        <w:tc>
          <w:tcPr>
            <w:tcW w:w="5405"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(2,917,724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74" w:name="xdx_405_eus-gaap--IncomeTaxPaidStateAndL"/>
            <w:bookmarkEnd w:id="1174"/>
          </w:p>
        </w:tc>
      </w:tr>
      <w:tr>
        <w:trPr/>
        <w:tc>
          <w:tcPr>
            <w:tcW w:w="5405" w:type="dxa"/>
            <w:tcBorders/>
            <w:shd w:fill="FFFFFF" w:val="clear"/>
            <w:vAlign w:val="center"/>
          </w:tcPr>
          <w:p>
            <w:pPr>
              <w:pStyle w:val="TableContents"/>
              <w:bidi w:val="0"/>
              <w:spacing w:before="0" w:after="283"/>
              <w:jc w:val="left"/>
              <w:rPr/>
            </w:pPr>
            <w:r>
              <w:rPr/>
              <w:t>States and local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57,894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75" w:name="xdx_406_ecustom--IncomeTaxesPaidCash_iT_"/>
            <w:bookmarkEnd w:id="1175"/>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(2,859,830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Total cash paid for income taxes (prior to ASU 2023-09)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bookmarkStart w:id="1176" w:name="xdx_904_ecustom--IncomeTaxesPaidCash_c20"/>
            <w:bookmarkEnd w:id="1176"/>
            <w:r>
              <w:rPr/>
              <w:t>(1,100,302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77" w:name="xdx_8A4_zg76l4TIkms3"/>
      <w:bookmarkEnd w:id="11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these consolidated financial statements are</w:t>
      </w:r>
      <w:bookmarkStart w:id="1178" w:name="xdx_90E_ecustom--NumberOfUnconsolidatedE"/>
      <w:bookmarkEnd w:id="1178"/>
      <w:r>
        <w:rPr>
          <w:rFonts w:ascii="Times New Roman;Times;Serif" w:hAnsi="Times New Roman;Times;Serif"/>
          <w:b w:val="false"/>
          <w:i w:val="false"/>
          <w:caps w:val="false"/>
          <w:smallCaps w:val="false"/>
          <w:sz w:val="20"/>
        </w:rPr>
        <w:t xml:space="preserve"> two entities that are not consolidated in the U.S. tax return filing due to one entity being less than 80% ownership by Snail Games USA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enacted, introducing several changes to U.S. tax law. Among other provisions, the OBBBA permits taxpayers to immediately expense domestic research and experimental (“R&amp;E”) expenditures beginning in 2025 and allows an election to accelerate the amortization of any remaining unamortized domestic R&amp;E costs over a one- or two-year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immediately expense domestic R&amp;E expenditures incurred in 2025 and to accelerate the amortization of its remaining unamortized domestic R&amp;E costs over a one-year period beginning in 2025. As a result, the enactment of the OBBBA reduced the Company’s U.S. current income tax expense for the year ended December 31, 2025. The legislation did not result in a net impact to the Company’s U.S. deferred tax balances, as the related deferred tax assets continue to be fully offset by a valuation allowance established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maintained a total valuation allowance of $</w:t>
      </w:r>
      <w:bookmarkStart w:id="1179" w:name="xdx_902_ecustom--DeferredTaxAssetsValuat"/>
      <w:bookmarkEnd w:id="1179"/>
      <w:r>
        <w:rPr>
          <w:rFonts w:ascii="Times New Roman;Times;Serif" w:hAnsi="Times New Roman;Times;Serif"/>
          <w:b w:val="false"/>
          <w:i w:val="false"/>
          <w:caps w:val="false"/>
          <w:smallCaps w:val="false"/>
          <w:sz w:val="20"/>
        </w:rPr>
        <w:t>20,011,238 and $</w:t>
      </w:r>
      <w:bookmarkStart w:id="1180" w:name="xdx_903_ecustom--DeferredTaxAssetsValuat"/>
      <w:bookmarkEnd w:id="1180"/>
      <w:r>
        <w:rPr>
          <w:rFonts w:ascii="Times New Roman;Times;Serif" w:hAnsi="Times New Roman;Times;Serif"/>
          <w:b w:val="false"/>
          <w:i w:val="false"/>
          <w:caps w:val="false"/>
          <w:smallCaps w:val="false"/>
          <w:sz w:val="20"/>
        </w:rPr>
        <w:t>5,429,353 as of December 31, 2025 and 2024, respectively. The non-includable entities had a valuation allowance of $</w:t>
      </w:r>
      <w:bookmarkStart w:id="1181" w:name="xdx_902_ecustom--NonIncludableEntitiesVa"/>
      <w:bookmarkEnd w:id="1181"/>
      <w:r>
        <w:rPr>
          <w:rFonts w:ascii="Times New Roman;Times;Serif" w:hAnsi="Times New Roman;Times;Serif"/>
          <w:b w:val="false"/>
          <w:i w:val="false"/>
          <w:caps w:val="false"/>
          <w:smallCaps w:val="false"/>
          <w:sz w:val="20"/>
        </w:rPr>
        <w:t>4,044,251 and $</w:t>
      </w:r>
      <w:bookmarkStart w:id="1182" w:name="xdx_903_ecustom--NonIncludableEntitiesVa"/>
      <w:bookmarkEnd w:id="1182"/>
      <w:r>
        <w:rPr>
          <w:rFonts w:ascii="Times New Roman;Times;Serif" w:hAnsi="Times New Roman;Times;Serif"/>
          <w:b w:val="false"/>
          <w:i w:val="false"/>
          <w:caps w:val="false"/>
          <w:smallCaps w:val="false"/>
          <w:sz w:val="20"/>
        </w:rPr>
        <w:t>4,024,497 as of December 31, 2025 and 2024. The Company’s consolidated tax filing group had a domestic valuation allowance of $</w:t>
      </w:r>
      <w:bookmarkStart w:id="1183" w:name="xdx_90E_eus-gaap--DeferredTaxAssetsValua"/>
      <w:bookmarkEnd w:id="1183"/>
      <w:r>
        <w:rPr>
          <w:rFonts w:ascii="Times New Roman;Times;Serif" w:hAnsi="Times New Roman;Times;Serif"/>
          <w:b w:val="false"/>
          <w:i w:val="false"/>
          <w:caps w:val="false"/>
          <w:smallCaps w:val="false"/>
          <w:sz w:val="20"/>
        </w:rPr>
        <w:t>14,899,697 and $</w:t>
      </w:r>
      <w:bookmarkStart w:id="1184" w:name="xdx_90D_eus-gaap--DeferredTaxAssetsValua"/>
      <w:bookmarkEnd w:id="1184"/>
      <w:r>
        <w:rPr>
          <w:rFonts w:ascii="Times New Roman;Times;Serif" w:hAnsi="Times New Roman;Times;Serif"/>
          <w:b w:val="false"/>
          <w:i w:val="false"/>
          <w:caps w:val="false"/>
          <w:smallCaps w:val="false"/>
          <w:sz w:val="20"/>
        </w:rPr>
        <w:t>673,049 as of December 31, 2025 and 2024, respectively. The Company had a foreign valuation allowance of $</w:t>
      </w:r>
      <w:bookmarkStart w:id="1185" w:name="xdx_90D_eus-gaap--DeferredTaxAssetsValua"/>
      <w:bookmarkEnd w:id="1185"/>
      <w:r>
        <w:rPr>
          <w:rFonts w:ascii="Times New Roman;Times;Serif" w:hAnsi="Times New Roman;Times;Serif"/>
          <w:b w:val="false"/>
          <w:i w:val="false"/>
          <w:caps w:val="false"/>
          <w:smallCaps w:val="false"/>
          <w:sz w:val="20"/>
        </w:rPr>
        <w:t>1,067,290 and $</w:t>
      </w:r>
      <w:bookmarkStart w:id="1186" w:name="xdx_901_eus-gaap--DeferredTaxAssetsValua"/>
      <w:bookmarkEnd w:id="1186"/>
      <w:r>
        <w:rPr>
          <w:rFonts w:ascii="Times New Roman;Times;Serif" w:hAnsi="Times New Roman;Times;Serif"/>
          <w:b w:val="false"/>
          <w:i w:val="false"/>
          <w:caps w:val="false"/>
          <w:smallCaps w:val="false"/>
          <w:sz w:val="20"/>
        </w:rPr>
        <w:t>731,807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 full valuation allowance for its net deferred tax assets since it is not more likely than not to be realized. Management considered all available evidence, both positive and negative, including but not limited to the Company’s historical operating results, income or loss in recent periods, cumulative losses in recent years, forecasted earnings, future taxable income, and significant risk and uncertainty related to forecasts, and concluded the deferred tax assets are not more likely than not to be realized. Overall, the Company’s valuation allowance had a net increase of $</w:t>
      </w:r>
      <w:bookmarkStart w:id="1187" w:name="xdx_90A_eus-gaap--ValuationAllowanceDefe"/>
      <w:bookmarkEnd w:id="1187"/>
      <w:r>
        <w:rPr>
          <w:rFonts w:ascii="Times New Roman;Times;Serif" w:hAnsi="Times New Roman;Times;Serif"/>
          <w:b w:val="false"/>
          <w:i w:val="false"/>
          <w:caps w:val="false"/>
          <w:smallCaps w:val="false"/>
          <w:sz w:val="20"/>
        </w:rPr>
        <w:t>14,581,885 during 2025, and $</w:t>
      </w:r>
      <w:bookmarkStart w:id="1188" w:name="xdx_90B_eus-gaap--ValuationAllowanceDefe"/>
      <w:bookmarkEnd w:id="1188"/>
      <w:r>
        <w:rPr>
          <w:rFonts w:ascii="Times New Roman;Times;Serif" w:hAnsi="Times New Roman;Times;Serif"/>
          <w:b w:val="false"/>
          <w:i w:val="false"/>
          <w:caps w:val="false"/>
          <w:smallCaps w:val="false"/>
          <w:sz w:val="20"/>
        </w:rPr>
        <w:t>285,551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non-includable entities have U.S. federal NOL carryforwards of $</w:t>
      </w:r>
      <w:bookmarkStart w:id="1189" w:name="xdx_90A_ecustom--OperatingLossCarryforwa"/>
      <w:bookmarkEnd w:id="1189"/>
      <w:r>
        <w:rPr>
          <w:rFonts w:ascii="Times New Roman;Times;Serif" w:hAnsi="Times New Roman;Times;Serif"/>
          <w:b w:val="false"/>
          <w:i w:val="false"/>
          <w:caps w:val="false"/>
          <w:smallCaps w:val="false"/>
          <w:sz w:val="20"/>
        </w:rPr>
        <w:t>2,884,392 which begin to expire in 2037 and $</w:t>
      </w:r>
      <w:bookmarkStart w:id="1190" w:name="xdx_909_ecustom--OperatingLossCarryforwa"/>
      <w:bookmarkEnd w:id="1190"/>
      <w:r>
        <w:rPr>
          <w:rFonts w:ascii="Times New Roman;Times;Serif" w:hAnsi="Times New Roman;Times;Serif"/>
          <w:b w:val="false"/>
          <w:i w:val="false"/>
          <w:caps w:val="false"/>
          <w:smallCaps w:val="false"/>
          <w:sz w:val="20"/>
        </w:rPr>
        <w:t>11,538,117 with an indefinite carryforward period. As of December 31, 2025, the non-includable entities have $</w:t>
      </w:r>
      <w:bookmarkStart w:id="1191" w:name="xdx_90B_ecustom--OperatingLossCarryforwa"/>
      <w:bookmarkEnd w:id="1191"/>
      <w:r>
        <w:rPr>
          <w:rFonts w:ascii="Times New Roman;Times;Serif" w:hAnsi="Times New Roman;Times;Serif"/>
          <w:b w:val="false"/>
          <w:i w:val="false"/>
          <w:caps w:val="false"/>
          <w:smallCaps w:val="false"/>
          <w:sz w:val="20"/>
        </w:rPr>
        <w:t>14,434,371 of California net operating loss carryforwards, which begin to expire in 2037. The Company’s consolidated group federal NOL carryforwards are $</w:t>
      </w:r>
      <w:bookmarkStart w:id="1192" w:name="xdx_906_eus-gaap--OperatingLossCarryforw"/>
      <w:bookmarkEnd w:id="1192"/>
      <w:r>
        <w:rPr>
          <w:rFonts w:ascii="Times New Roman;Times;Serif" w:hAnsi="Times New Roman;Times;Serif"/>
          <w:b w:val="false"/>
          <w:i w:val="false"/>
          <w:caps w:val="false"/>
          <w:smallCaps w:val="false"/>
          <w:sz w:val="20"/>
        </w:rPr>
        <w:t>19,286,436 with an indefinite carryforward period. The Company’s consolidated group state NOL carryforwards are $</w:t>
      </w:r>
      <w:bookmarkStart w:id="1193" w:name="xdx_906_eus-gaap--OperatingLossCarryforw"/>
      <w:bookmarkEnd w:id="1193"/>
      <w:r>
        <w:rPr>
          <w:rFonts w:ascii="Times New Roman;Times;Serif" w:hAnsi="Times New Roman;Times;Serif"/>
          <w:b w:val="false"/>
          <w:i w:val="false"/>
          <w:caps w:val="false"/>
          <w:smallCaps w:val="false"/>
          <w:sz w:val="20"/>
        </w:rPr>
        <w:t>5,620,429 and begin to expire in 2039. As of December 31, 2025, the Company did not have any foreign NOL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foreign tax credit carryforwards of $</w:t>
      </w:r>
      <w:bookmarkStart w:id="1194" w:name="xdx_906_eus-gaap--TaxCreditCarryforwardA"/>
      <w:bookmarkEnd w:id="1194"/>
      <w:r>
        <w:rPr>
          <w:rFonts w:ascii="Times New Roman;Times;Serif" w:hAnsi="Times New Roman;Times;Serif"/>
          <w:b w:val="false"/>
          <w:i w:val="false"/>
          <w:caps w:val="false"/>
          <w:smallCaps w:val="false"/>
          <w:sz w:val="20"/>
        </w:rPr>
        <w:t>192,180 which begin to expire in 2027 and has foreign R&amp;D credit carryforwards of $</w:t>
      </w:r>
      <w:bookmarkStart w:id="1195" w:name="xdx_906_eus-gaap--TaxCreditCarryforwardA"/>
      <w:bookmarkEnd w:id="1195"/>
      <w:r>
        <w:rPr>
          <w:rFonts w:ascii="Times New Roman;Times;Serif" w:hAnsi="Times New Roman;Times;Serif"/>
          <w:b w:val="false"/>
          <w:i w:val="false"/>
          <w:caps w:val="false"/>
          <w:smallCaps w:val="false"/>
          <w:sz w:val="20"/>
        </w:rPr>
        <w:t>1,065,391 which begin to expire in 2027. The Company has California R&amp;D credit carryforwards of $</w:t>
      </w:r>
      <w:bookmarkStart w:id="1196" w:name="xdx_901_eus-gaap--TaxCreditCarryforwardA"/>
      <w:bookmarkEnd w:id="1196"/>
      <w:r>
        <w:rPr>
          <w:rFonts w:ascii="Times New Roman;Times;Serif" w:hAnsi="Times New Roman;Times;Serif"/>
          <w:b w:val="false"/>
          <w:i w:val="false"/>
          <w:caps w:val="false"/>
          <w:smallCaps w:val="false"/>
          <w:sz w:val="20"/>
        </w:rPr>
        <w:t>340,088 with an indefinite carryforward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382/383 of the Internal Revenue Code of 1986, as amended, and corresponding provisions of state law, if a corporation undergoes an “ownership change,” which generally occurs if the percentage of the corporation’s stock owned by 5% stockholders increases by more than 50% over a three year period, the corporation’s ability to use its pre-change NOL carryforwards and other pre-change tax attributes to offset its post-change income may be limited. The annual limitation may result in the expiration of net operating losses and credits before utilization. The Company has not performed a Section 382 analysis through December 31, 2025. Subsequent ownership changes may affect the limitation in future years. The Company will evaluate performing a Section 382 analysis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currently file tax returns in the United States (federal and states) and Poland. The statute of limitations for its consolidated federal income tax returns is open for tax years ended December 31, 2022 and after. The statute of limitations for its consolidated state income tax returns is open for tax years ended December 31, 2019 and after. Net operating loss carryforwards generated in early years remains subject to examination by taxing authorities when utilized. The statute of limitations for its Polish tax returns is open for tax years ended December 31, 2019 and after. The Internal Revenue Service completed its examination of the Company’s 2022 federal income tax return during 2025 with no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intends to permanently reinvest any future foreign earnings to support operations and business growth of its affiliated company in Poland. As such, </w:t>
      </w:r>
      <w:bookmarkStart w:id="1197" w:name="xdx_902_eus-gaap--DeferredTaxLiabilityNo"/>
      <w:bookmarkStart w:id="1198" w:name="xdx_90E_eus-gaap--DeferredTaxLiabilityNo"/>
      <w:bookmarkEnd w:id="1197"/>
      <w:bookmarkEnd w:id="1198"/>
      <w:r>
        <w:rPr>
          <w:rFonts w:ascii="Times New Roman;Times;Serif" w:hAnsi="Times New Roman;Times;Serif"/>
          <w:b w:val="false"/>
          <w:i w:val="false"/>
          <w:caps w:val="false"/>
          <w:smallCaps w:val="false"/>
          <w:sz w:val="20"/>
        </w:rPr>
        <w:t>no deferred tax liability was recorded on the unremitted earnings of the foreign subsidiary as of December 31, 2025 and 2024. As of December 31, 2025, the Company had $</w:t>
      </w:r>
      <w:bookmarkStart w:id="1199" w:name="xdx_903_eus-gaap--DebtOfSubsidiaryNotAss"/>
      <w:bookmarkEnd w:id="1199"/>
      <w:r>
        <w:rPr>
          <w:rFonts w:ascii="Times New Roman;Times;Serif" w:hAnsi="Times New Roman;Times;Serif"/>
          <w:b w:val="false"/>
          <w:i w:val="false"/>
          <w:caps w:val="false"/>
          <w:smallCaps w:val="false"/>
          <w:sz w:val="20"/>
        </w:rPr>
        <w:t>1,663,858 of unremitted earnings that will be indefinitely reinvested in its Poland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0" w:name="xdx_896_eus-gaap--ScheduleOfUnrecognized"/>
      <w:bookmarkEnd w:id="1200"/>
      <w:r>
        <w:rPr>
          <w:rFonts w:ascii="Times New Roman;Times;Serif" w:hAnsi="Times New Roman;Times;Serif"/>
          <w:b w:val="false"/>
          <w:i w:val="false"/>
          <w:caps w:val="false"/>
          <w:smallCaps w:val="false"/>
          <w:sz w:val="20"/>
        </w:rPr>
        <w:t>The following table reflects changes in gross unrecognized tax benefits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1201" w:name="xdx_8B4_zMAtj9FzwpZa"/>
      <w:bookmarkEnd w:id="1201"/>
      <w:r>
        <w:rPr>
          <w:rFonts w:ascii="Times New Roman;Times;Serif" w:hAnsi="Times New Roman;Times;Serif"/>
          <w:b w:val="false"/>
          <w:i w:val="false"/>
          <w:caps w:val="false"/>
          <w:smallCaps w:val="false"/>
          <w:sz w:val="20"/>
        </w:rPr>
        <w:t>SCHEDULE OF UNRECOGNIZED TAX BENEFITS</w:t>
      </w:r>
    </w:p>
    <w:tbl>
      <w:tblPr>
        <w:tblW w:w="7280" w:type="dxa"/>
        <w:jc w:val="left"/>
        <w:tblInd w:w="0" w:type="dxa"/>
        <w:tblLayout w:type="fixed"/>
        <w:tblCellMar>
          <w:top w:w="0" w:type="dxa"/>
          <w:left w:w="0" w:type="dxa"/>
          <w:bottom w:w="0" w:type="dxa"/>
          <w:right w:w="0" w:type="dxa"/>
        </w:tblCellMar>
      </w:tblPr>
      <w:tblGrid>
        <w:gridCol w:w="5000"/>
        <w:gridCol w:w="60"/>
        <w:gridCol w:w="140"/>
        <w:gridCol w:w="800"/>
        <w:gridCol w:w="95"/>
        <w:gridCol w:w="60"/>
        <w:gridCol w:w="140"/>
        <w:gridCol w:w="875"/>
        <w:gridCol w:w="110"/>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2" w:name="xdx_495_20250101__20251231_zcKDbmsRGb6e"/>
            <w:bookmarkEnd w:id="1202"/>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3" w:name="xdx_493_20240101__20241231_zUGsKoWistO3"/>
            <w:bookmarkEnd w:id="1203"/>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204" w:name="xdx_400_eus-gaap--UnrecognizedTaxBenefit"/>
            <w:bookmarkEnd w:id="1204"/>
          </w:p>
        </w:tc>
      </w:tr>
      <w:tr>
        <w:trPr/>
        <w:tc>
          <w:tcPr>
            <w:tcW w:w="5000" w:type="dxa"/>
            <w:tcBorders/>
            <w:shd w:fill="CCEEFF" w:val="clear"/>
            <w:vAlign w:val="center"/>
          </w:tcPr>
          <w:p>
            <w:pPr>
              <w:pStyle w:val="TableContents"/>
              <w:bidi w:val="0"/>
              <w:spacing w:before="0" w:after="283"/>
              <w:jc w:val="left"/>
              <w:rPr/>
            </w:pPr>
            <w:r>
              <w:rPr/>
              <w:t>Unrecognized tax benefits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512,355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487,608</w:t>
            </w:r>
          </w:p>
        </w:tc>
        <w:tc>
          <w:tcPr>
            <w:tcW w:w="110" w:type="dxa"/>
            <w:tcBorders/>
            <w:shd w:fill="CCEEFF" w:val="clear"/>
            <w:vAlign w:val="center"/>
          </w:tcPr>
          <w:p>
            <w:pPr>
              <w:pStyle w:val="TableContents"/>
              <w:bidi w:val="0"/>
              <w:spacing w:before="0" w:after="283"/>
              <w:jc w:val="left"/>
              <w:rPr/>
            </w:pPr>
            <w:r>
              <w:rPr/>
              <w:t> </w:t>
            </w:r>
            <w:bookmarkStart w:id="1205" w:name="xdx_40F_eus-gaap--UnrecognizedTaxBenefit"/>
            <w:bookmarkEnd w:id="1205"/>
          </w:p>
        </w:tc>
      </w:tr>
      <w:tr>
        <w:trPr/>
        <w:tc>
          <w:tcPr>
            <w:tcW w:w="5000" w:type="dxa"/>
            <w:tcBorders/>
            <w:shd w:fill="FFFFFF" w:val="clear"/>
            <w:vAlign w:val="center"/>
          </w:tcPr>
          <w:p>
            <w:pPr>
              <w:pStyle w:val="TableContents"/>
              <w:bidi w:val="0"/>
              <w:spacing w:before="0" w:after="283"/>
              <w:jc w:val="left"/>
              <w:rPr/>
            </w:pPr>
            <w:r>
              <w:rPr/>
              <w:t>Gross Increases – current year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06" w:name="xdx_40C_eus-gaap--UnrecognizedTaxBenefit"/>
            <w:bookmarkEnd w:id="1206"/>
          </w:p>
        </w:tc>
      </w:tr>
      <w:tr>
        <w:trPr/>
        <w:tc>
          <w:tcPr>
            <w:tcW w:w="5000" w:type="dxa"/>
            <w:tcBorders/>
            <w:shd w:fill="CCEEFF" w:val="clear"/>
            <w:vAlign w:val="center"/>
          </w:tcPr>
          <w:p>
            <w:pPr>
              <w:pStyle w:val="TableContents"/>
              <w:bidi w:val="0"/>
              <w:spacing w:before="0" w:after="283"/>
              <w:jc w:val="left"/>
              <w:rPr/>
            </w:pPr>
            <w:r>
              <w:rPr/>
              <w:t>Gross Increases – prior year positions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219,128</w:t>
            </w:r>
          </w:p>
        </w:tc>
        <w:tc>
          <w:tcPr>
            <w:tcW w:w="110" w:type="dxa"/>
            <w:tcBorders/>
            <w:shd w:fill="CCEEFF" w:val="clear"/>
            <w:vAlign w:val="center"/>
          </w:tcPr>
          <w:p>
            <w:pPr>
              <w:pStyle w:val="TableContents"/>
              <w:bidi w:val="0"/>
              <w:spacing w:before="0" w:after="283"/>
              <w:jc w:val="left"/>
              <w:rPr/>
            </w:pPr>
            <w:r>
              <w:rPr/>
              <w:t> </w:t>
            </w:r>
            <w:bookmarkStart w:id="1207" w:name="xdx_400_eus-gaap--UnrecognizedTaxBenefit"/>
            <w:bookmarkEnd w:id="1207"/>
          </w:p>
        </w:tc>
      </w:tr>
      <w:tr>
        <w:trPr/>
        <w:tc>
          <w:tcPr>
            <w:tcW w:w="5000" w:type="dxa"/>
            <w:tcBorders/>
            <w:shd w:fill="FFFFFF" w:val="clear"/>
            <w:vAlign w:val="center"/>
          </w:tcPr>
          <w:p>
            <w:pPr>
              <w:pStyle w:val="TableContents"/>
              <w:bidi w:val="0"/>
              <w:spacing w:before="0" w:after="283"/>
              <w:jc w:val="left"/>
              <w:rPr/>
            </w:pPr>
            <w:r>
              <w:rPr/>
              <w:t>Gross Decreases – prior year positions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(33,831</w:t>
            </w:r>
          </w:p>
        </w:tc>
        <w:tc>
          <w:tcPr>
            <w:tcW w:w="110" w:type="dxa"/>
            <w:tcBorders/>
            <w:shd w:fill="FFFFFF" w:val="clear"/>
            <w:vAlign w:val="center"/>
          </w:tcPr>
          <w:p>
            <w:pPr>
              <w:pStyle w:val="TableContents"/>
              <w:bidi w:val="0"/>
              <w:spacing w:before="0" w:after="283"/>
              <w:jc w:val="left"/>
              <w:rPr/>
            </w:pPr>
            <w:r>
              <w:rPr/>
              <w:t>)</w:t>
            </w:r>
            <w:bookmarkStart w:id="1208" w:name="xdx_409_ecustom--UnrecognizedTaxBenefits"/>
            <w:bookmarkEnd w:id="1208"/>
          </w:p>
        </w:tc>
      </w:tr>
      <w:tr>
        <w:trPr/>
        <w:tc>
          <w:tcPr>
            <w:tcW w:w="5000" w:type="dxa"/>
            <w:tcBorders/>
            <w:shd w:fill="CCEEFF" w:val="clear"/>
            <w:vAlign w:val="center"/>
          </w:tcPr>
          <w:p>
            <w:pPr>
              <w:pStyle w:val="TableContents"/>
              <w:bidi w:val="0"/>
              <w:spacing w:before="0" w:after="283"/>
              <w:jc w:val="left"/>
              <w:rPr/>
            </w:pPr>
            <w:r>
              <w:rPr/>
              <w:t>Gross Decreases – expiration of statute of limitations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(160,550</w:t>
            </w:r>
          </w:p>
        </w:tc>
        <w:tc>
          <w:tcPr>
            <w:tcW w:w="110" w:type="dxa"/>
            <w:tcBorders/>
            <w:shd w:fill="CCEEFF" w:val="clear"/>
            <w:vAlign w:val="center"/>
          </w:tcPr>
          <w:p>
            <w:pPr>
              <w:pStyle w:val="TableContents"/>
              <w:bidi w:val="0"/>
              <w:spacing w:before="0" w:after="283"/>
              <w:jc w:val="left"/>
              <w:rPr/>
            </w:pPr>
            <w:r>
              <w:rPr/>
              <w:t>)</w:t>
            </w:r>
            <w:bookmarkStart w:id="1209" w:name="xdx_405_eus-gaap--UnrecognizedTaxBenefit"/>
            <w:bookmarkEnd w:id="1209"/>
          </w:p>
        </w:tc>
      </w:tr>
      <w:tr>
        <w:trPr/>
        <w:tc>
          <w:tcPr>
            <w:tcW w:w="5000" w:type="dxa"/>
            <w:tcBorders/>
            <w:shd w:fill="FFFFFF" w:val="clear"/>
            <w:vAlign w:val="center"/>
          </w:tcPr>
          <w:p>
            <w:pPr>
              <w:pStyle w:val="TableContents"/>
              <w:bidi w:val="0"/>
              <w:spacing w:before="0" w:after="283"/>
              <w:jc w:val="left"/>
              <w:rPr/>
            </w:pPr>
            <w:r>
              <w:rPr/>
              <w:t>Gross Decreases – settlements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10" w:name="xdx_403_eus-gaap--UnrecognizedTaxBenefit"/>
            <w:bookmarkEnd w:id="1210"/>
          </w:p>
        </w:tc>
      </w:tr>
      <w:tr>
        <w:trPr/>
        <w:tc>
          <w:tcPr>
            <w:tcW w:w="5000" w:type="dxa"/>
            <w:tcBorders/>
            <w:shd w:fill="CCEEFF" w:val="clear"/>
            <w:vAlign w:val="center"/>
          </w:tcPr>
          <w:p>
            <w:pPr>
              <w:pStyle w:val="TableContents"/>
              <w:bidi w:val="0"/>
              <w:spacing w:before="0" w:after="283"/>
              <w:jc w:val="left"/>
              <w:rPr/>
            </w:pPr>
            <w:r>
              <w:rPr/>
              <w:t>Unrecognized tax benefits at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595,463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512,355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11" w:name="xdx_8AD_zTaDp1b0gt73"/>
      <w:bookmarkEnd w:id="12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w:t>
      </w:r>
      <w:bookmarkStart w:id="1212" w:name="xdx_900_eus-gaap--UnrecognizedTaxBenefit"/>
      <w:bookmarkEnd w:id="1212"/>
      <w:r>
        <w:rPr>
          <w:rFonts w:ascii="Times New Roman;Times;Serif" w:hAnsi="Times New Roman;Times;Serif"/>
          <w:b w:val="false"/>
          <w:i w:val="false"/>
          <w:caps w:val="false"/>
          <w:smallCaps w:val="false"/>
          <w:sz w:val="20"/>
        </w:rPr>
        <w:t>403,281 and $</w:t>
      </w:r>
      <w:bookmarkStart w:id="1213" w:name="xdx_901_eus-gaap--UnrecognizedTaxBenefit"/>
      <w:bookmarkEnd w:id="1213"/>
      <w:r>
        <w:rPr>
          <w:rFonts w:ascii="Times New Roman;Times;Serif" w:hAnsi="Times New Roman;Times;Serif"/>
          <w:b w:val="false"/>
          <w:i w:val="false"/>
          <w:caps w:val="false"/>
          <w:smallCaps w:val="false"/>
          <w:sz w:val="20"/>
        </w:rPr>
        <w:t>265,251, respectively, of unrecognized tax benefits that if recognized would impact the Company’s effective tax rate. The Company accrued and recognized interest and penalties related to unrecognized tax benefits in operating expense. As of December 31, 2025 and 2024, the Company had accrued $</w:t>
      </w:r>
      <w:bookmarkStart w:id="1214" w:name="xdx_900_eus-gaap--UnrecognizedTaxBenefit"/>
      <w:bookmarkEnd w:id="1214"/>
      <w:r>
        <w:rPr>
          <w:rFonts w:ascii="Times New Roman;Times;Serif" w:hAnsi="Times New Roman;Times;Serif"/>
          <w:b w:val="false"/>
          <w:i w:val="false"/>
          <w:caps w:val="false"/>
          <w:smallCaps w:val="false"/>
          <w:sz w:val="20"/>
        </w:rPr>
        <w:t>207,844 and $</w:t>
      </w:r>
      <w:bookmarkStart w:id="1215" w:name="xdx_909_eus-gaap--UnrecognizedTaxBenefit"/>
      <w:bookmarkEnd w:id="1215"/>
      <w:r>
        <w:rPr>
          <w:rFonts w:ascii="Times New Roman;Times;Serif" w:hAnsi="Times New Roman;Times;Serif"/>
          <w:b w:val="false"/>
          <w:i w:val="false"/>
          <w:caps w:val="false"/>
          <w:smallCaps w:val="false"/>
          <w:sz w:val="20"/>
        </w:rPr>
        <w:t>143,020 of interest and penalties,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6" w:name="xdx_809_eus-gaap--LesseeOperatingLeasesT"/>
      <w:bookmarkEnd w:id="1216"/>
      <w:r>
        <w:rPr>
          <w:rFonts w:ascii="Times New Roman;Times;Serif" w:hAnsi="Times New Roman;Times;Serif"/>
          <w:b/>
          <w:i w:val="false"/>
          <w:caps w:val="false"/>
          <w:smallCaps w:val="false"/>
          <w:sz w:val="20"/>
        </w:rPr>
        <w:t xml:space="preserve">NOTE 14 – </w:t>
      </w:r>
      <w:bookmarkStart w:id="1217" w:name="xdx_829_zm5WhhffAdB"/>
      <w:bookmarkEnd w:id="1217"/>
      <w:r>
        <w:rPr>
          <w:rFonts w:ascii="Times New Roman;Times;Serif" w:hAnsi="Times New Roman;Times;Serif"/>
          <w:b/>
          <w:i w:val="false"/>
          <w:caps w:val="false"/>
          <w:smallCaps w:val="false"/>
          <w:sz w:val="20"/>
        </w:rPr>
        <w:t>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w:t>
      </w:r>
      <w:bookmarkStart w:id="1218" w:name="xdx_906_eus-gaap--LineOfCreditFacilityMa"/>
      <w:bookmarkEnd w:id="1218"/>
      <w:r>
        <w:rPr>
          <w:rFonts w:ascii="Times New Roman;Times;Serif" w:hAnsi="Times New Roman;Times;Serif"/>
          <w:b w:val="false"/>
          <w:i w:val="false"/>
          <w:caps w:val="false"/>
          <w:smallCaps w:val="false"/>
          <w:sz w:val="20"/>
        </w:rPr>
        <w:t xml:space="preserve">1,075,000 to lease office space. The standby letter of credit is valid for a seven-year term and was amended in December 2025 to extend to March 31, 2033. The Company leases office space in Beverly Hills, California pursuant to a lease agreement, as amended, with an original commencement date of April 5, 2018, which was extended for an additional 86-month term commencing December 1, 2025 and expiring January 31, 2033, with one five-year renewal option but the Company is not reasonably certain to exercise the option at lease commencement. For purposes of measuring the right-of-use asset and lease liability under ASC 842, the Company applied an incremental borrowing rate of </w:t>
      </w:r>
      <w:bookmarkStart w:id="1219" w:name="xdx_903_ecustom--IncrementalBorrowingRat"/>
      <w:bookmarkEnd w:id="1219"/>
      <w:r>
        <w:rPr>
          <w:rFonts w:ascii="Times New Roman;Times;Serif" w:hAnsi="Times New Roman;Times;Serif"/>
          <w:b w:val="false"/>
          <w:i w:val="false"/>
          <w:caps w:val="false"/>
          <w:smallCaps w:val="false"/>
          <w:sz w:val="20"/>
        </w:rPr>
        <w:t>8.50%. The incremental borrowing rate is the rate of interest we would have to pay to borrow on a collateralized basis over a similar term an amount equal to the lease payments in a similar economic environment. In determining that rate, the company considers prevailing economic conditions at the commencement date, as well as factors such as company-specific credit risk, term of the lease and options, and the effect of collateralization based on the nature and quality of the underlying asset As of December 31, 2025 and 2024, the Company’s net operating lease right-of-use assets amounted to $</w:t>
      </w:r>
      <w:bookmarkStart w:id="1220" w:name="xdx_90D_eus-gaap--OperatingLeaseRightOfU"/>
      <w:bookmarkEnd w:id="1220"/>
      <w:r>
        <w:rPr>
          <w:rFonts w:ascii="Times New Roman;Times;Serif" w:hAnsi="Times New Roman;Times;Serif"/>
          <w:b w:val="false"/>
          <w:i w:val="false"/>
          <w:caps w:val="false"/>
          <w:smallCaps w:val="false"/>
          <w:sz w:val="20"/>
        </w:rPr>
        <w:t>4,722,366 and $</w:t>
      </w:r>
      <w:bookmarkStart w:id="1221" w:name="xdx_906_eus-gaap--OperatingLeaseRightOfU"/>
      <w:bookmarkEnd w:id="1221"/>
      <w:r>
        <w:rPr>
          <w:rFonts w:ascii="Times New Roman;Times;Serif" w:hAnsi="Times New Roman;Times;Serif"/>
          <w:b w:val="false"/>
          <w:i w:val="false"/>
          <w:caps w:val="false"/>
          <w:smallCaps w:val="false"/>
          <w:sz w:val="20"/>
        </w:rPr>
        <w:t>1,279,330, respectively. The Company had variable lease payments of approximately $</w:t>
      </w:r>
      <w:bookmarkStart w:id="1222" w:name="xdx_90C_eus-gaap--VariableLeasePayment_p"/>
      <w:bookmarkEnd w:id="1222"/>
      <w:r>
        <w:rPr>
          <w:rFonts w:ascii="Times New Roman;Times;Serif" w:hAnsi="Times New Roman;Times;Serif"/>
          <w:b w:val="false"/>
          <w:i w:val="false"/>
          <w:caps w:val="false"/>
          <w:smallCaps w:val="false"/>
          <w:sz w:val="20"/>
        </w:rPr>
        <w:t>139,930 and $</w:t>
      </w:r>
      <w:bookmarkStart w:id="1223" w:name="xdx_90A_eus-gaap--VariableLeasePayment_p"/>
      <w:bookmarkEnd w:id="1223"/>
      <w:r>
        <w:rPr>
          <w:rFonts w:ascii="Times New Roman;Times;Serif" w:hAnsi="Times New Roman;Times;Serif"/>
          <w:b w:val="false"/>
          <w:i w:val="false"/>
          <w:caps w:val="false"/>
          <w:smallCaps w:val="false"/>
          <w:sz w:val="20"/>
        </w:rPr>
        <w:t>129,752 during the years ended December 31, 2025 and 2024, respectively, which consisted primarily of common area maintenance charges and administrative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4" w:name="xdx_898_eus-gaap--LeaseCostTableTextBloc"/>
      <w:bookmarkEnd w:id="1224"/>
      <w:r>
        <w:rPr>
          <w:rFonts w:ascii="Times New Roman;Times;Serif" w:hAnsi="Times New Roman;Times;Serif"/>
          <w:b w:val="false"/>
          <w:i w:val="false"/>
          <w:caps w:val="false"/>
          <w:smallCaps w:val="false"/>
          <w:sz w:val="20"/>
        </w:rPr>
        <w:t>Operating lease costs included in the general and administrative expenses in our consolidated statements of operations and comprehensive income (loss)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1225" w:name="xdx_8B8_zNOU28flVM9c"/>
      <w:bookmarkEnd w:id="1225"/>
      <w:r>
        <w:rPr>
          <w:rFonts w:ascii="Times New Roman;Times;Serif" w:hAnsi="Times New Roman;Times;Serif"/>
          <w:b w:val="false"/>
          <w:i w:val="false"/>
          <w:caps w:val="false"/>
          <w:smallCaps w:val="false"/>
          <w:sz w:val="20"/>
        </w:rPr>
        <w:t>SCHEDULE OF OPERATING LEASE COSTS</w:t>
      </w:r>
    </w:p>
    <w:tbl>
      <w:tblPr>
        <w:tblW w:w="4525" w:type="dxa"/>
        <w:jc w:val="left"/>
        <w:tblInd w:w="0" w:type="dxa"/>
        <w:tblLayout w:type="fixed"/>
        <w:tblCellMar>
          <w:top w:w="0" w:type="dxa"/>
          <w:left w:w="0" w:type="dxa"/>
          <w:bottom w:w="0" w:type="dxa"/>
          <w:right w:w="0" w:type="dxa"/>
        </w:tblCellMar>
      </w:tblPr>
      <w:tblGrid>
        <w:gridCol w:w="2030"/>
        <w:gridCol w:w="60"/>
        <w:gridCol w:w="140"/>
        <w:gridCol w:w="980"/>
        <w:gridCol w:w="60"/>
        <w:gridCol w:w="60"/>
        <w:gridCol w:w="140"/>
        <w:gridCol w:w="98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6" w:name="xdx_49A_20250101__20251231_zk7ZFvx6chyl"/>
            <w:bookmarkEnd w:id="1226"/>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7" w:name="xdx_49D_20240101__20241231_zlXtmkah88Ac"/>
            <w:bookmarkEnd w:id="122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228" w:name="xdx_404_eus-gaap--OperatingLeaseCost_zO4"/>
            <w:bookmarkEnd w:id="1228"/>
          </w:p>
        </w:tc>
      </w:tr>
      <w:tr>
        <w:trPr/>
        <w:tc>
          <w:tcPr>
            <w:tcW w:w="2030" w:type="dxa"/>
            <w:tcBorders/>
            <w:shd w:fill="CCEEFF" w:val="clear"/>
            <w:vAlign w:val="center"/>
          </w:tcPr>
          <w:p>
            <w:pPr>
              <w:pStyle w:val="TableContents"/>
              <w:bidi w:val="0"/>
              <w:spacing w:before="0" w:after="283"/>
              <w:jc w:val="left"/>
              <w:rPr/>
            </w:pPr>
            <w:r>
              <w:rPr/>
              <w:t>Operating lease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1,736,513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1,624,257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29" w:name="xdx_8AD_za2eeFIWbso"/>
      <w:bookmarkEnd w:id="12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0" w:name="xdx_89B_ecustom--LesseeOperatingLeaseSup"/>
      <w:bookmarkEnd w:id="1230"/>
      <w:r>
        <w:rPr>
          <w:rFonts w:ascii="Times New Roman;Times;Serif" w:hAnsi="Times New Roman;Times;Serif"/>
          <w:b w:val="false"/>
          <w:i w:val="false"/>
          <w:caps w:val="false"/>
          <w:smallCaps w:val="false"/>
          <w:sz w:val="20"/>
        </w:rPr>
        <w:t>Supplemental information related to operating leases for lease liabilities as of December 31, 2025 and, 2024, is as follows:</w:t>
      </w:r>
    </w:p>
    <w:p>
      <w:pPr>
        <w:pStyle w:val="TextBody"/>
        <w:bidi w:val="0"/>
        <w:spacing w:before="0" w:after="0"/>
        <w:ind w:left="0" w:right="0" w:hanging="0"/>
        <w:jc w:val="both"/>
        <w:rPr>
          <w:caps w:val="false"/>
          <w:smallCaps w:val="false"/>
        </w:rPr>
      </w:pPr>
      <w:r>
        <w:rPr>
          <w:caps w:val="false"/>
          <w:smallCaps w:val="false"/>
        </w:rPr>
        <w:t> </w:t>
      </w:r>
      <w:bookmarkStart w:id="1231" w:name="xdx_8B6_zxo24YDKdkAi"/>
      <w:bookmarkEnd w:id="1231"/>
      <w:r>
        <w:rPr>
          <w:rFonts w:ascii="Times New Roman;Times;Serif" w:hAnsi="Times New Roman;Times;Serif"/>
          <w:b w:val="false"/>
          <w:i w:val="false"/>
          <w:caps w:val="false"/>
          <w:smallCaps w:val="false"/>
          <w:sz w:val="20"/>
        </w:rPr>
        <w:t>SCHEDULE OF SUPPLEMENTAL INFORMATION RELATED TO OPERATING LEASES</w:t>
      </w:r>
    </w:p>
    <w:tbl>
      <w:tblPr>
        <w:tblW w:w="9410" w:type="dxa"/>
        <w:jc w:val="left"/>
        <w:tblInd w:w="0" w:type="dxa"/>
        <w:tblLayout w:type="fixed"/>
        <w:tblCellMar>
          <w:top w:w="0" w:type="dxa"/>
          <w:left w:w="0" w:type="dxa"/>
          <w:bottom w:w="0" w:type="dxa"/>
          <w:right w:w="0" w:type="dxa"/>
        </w:tblCellMar>
      </w:tblPr>
      <w:tblGrid>
        <w:gridCol w:w="6605"/>
        <w:gridCol w:w="60"/>
        <w:gridCol w:w="140"/>
        <w:gridCol w:w="980"/>
        <w:gridCol w:w="215"/>
        <w:gridCol w:w="60"/>
        <w:gridCol w:w="140"/>
        <w:gridCol w:w="980"/>
        <w:gridCol w:w="230"/>
      </w:tblGrid>
      <w:tr>
        <w:trPr/>
        <w:tc>
          <w:tcPr>
            <w:tcW w:w="6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32" w:name="xdx_987_ecustom--CashPaidForAmountsInclu"/>
            <w:bookmarkEnd w:id="1232"/>
          </w:p>
        </w:tc>
        <w:tc>
          <w:tcPr>
            <w:tcW w:w="980" w:type="dxa"/>
            <w:tcBorders/>
            <w:shd w:fill="CCEEFF" w:val="clear"/>
            <w:vAlign w:val="center"/>
          </w:tcPr>
          <w:p>
            <w:pPr>
              <w:pStyle w:val="TableContents"/>
              <w:bidi w:val="0"/>
              <w:spacing w:before="0" w:after="283"/>
              <w:jc w:val="right"/>
              <w:rPr/>
            </w:pPr>
            <w:r>
              <w:rPr/>
              <w:t>1,571,305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33" w:name="xdx_98B_ecustom--CashPaidForAmountsInclu"/>
            <w:bookmarkEnd w:id="1233"/>
          </w:p>
        </w:tc>
        <w:tc>
          <w:tcPr>
            <w:tcW w:w="980" w:type="dxa"/>
            <w:tcBorders/>
            <w:shd w:fill="CCEEFF" w:val="clear"/>
            <w:vAlign w:val="center"/>
          </w:tcPr>
          <w:p>
            <w:pPr>
              <w:pStyle w:val="TableContents"/>
              <w:bidi w:val="0"/>
              <w:spacing w:before="0" w:after="283"/>
              <w:jc w:val="right"/>
              <w:rPr/>
            </w:pPr>
            <w:r>
              <w:rPr/>
              <w:t>1,619,689</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left"/>
              <w:rPr/>
            </w:pPr>
            <w:r>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bookmarkStart w:id="1234" w:name="xdx_902_eus-gaap--LesseeOperatingLeaseRe"/>
            <w:bookmarkEnd w:id="1234"/>
            <w:r>
              <w:rPr>
                <w:rFonts w:ascii="Times New Roman;Times;Serif" w:hAnsi="Times New Roman;Times;Serif"/>
                <w:sz w:val="20"/>
              </w:rPr>
              <w:t>6.9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bookmarkStart w:id="1235" w:name="xdx_909_eus-gaap--LesseeOperatingLeaseRe"/>
            <w:bookmarkEnd w:id="1235"/>
            <w:r>
              <w:rPr>
                <w:rFonts w:ascii="Times New Roman;Times;Serif" w:hAnsi="Times New Roman;Times;Serif"/>
                <w:sz w:val="20"/>
              </w:rPr>
              <w:t>1.0 years</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1236" w:name="xdx_905_eus-gaap--OperatingLeaseWeighted"/>
            <w:bookmarkEnd w:id="1236"/>
            <w:r>
              <w:rPr/>
              <w:t>8.42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1237" w:name="xdx_90A_eus-gaap--OperatingLeaseWeighted"/>
            <w:bookmarkEnd w:id="1237"/>
            <w:r>
              <w:rPr/>
              <w:t>5.14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38" w:name="xdx_8A3_zRnOBjZMPYOc"/>
      <w:bookmarkEnd w:id="12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39" w:name="xdx_896_eus-gaap--LesseeOperatingLeaseLi"/>
      <w:bookmarkEnd w:id="1239"/>
      <w:r>
        <w:rPr>
          <w:rFonts w:ascii="Times New Roman;Times;Serif" w:hAnsi="Times New Roman;Times;Serif"/>
          <w:b w:val="false"/>
          <w:i w:val="false"/>
          <w:caps w:val="false"/>
          <w:smallCaps w:val="false"/>
          <w:sz w:val="20"/>
        </w:rPr>
        <w:t>Future undiscounted lease payments for operating leases and a reconciliation of these payments to our operating lease liabilities as of December 31, 2025 are as follows:</w:t>
      </w:r>
    </w:p>
    <w:p>
      <w:pPr>
        <w:pStyle w:val="TextBody"/>
        <w:bidi w:val="0"/>
        <w:spacing w:before="0" w:after="0"/>
        <w:ind w:left="0" w:right="0" w:hanging="0"/>
        <w:jc w:val="both"/>
        <w:rPr>
          <w:caps w:val="false"/>
          <w:smallCaps w:val="false"/>
        </w:rPr>
      </w:pPr>
      <w:r>
        <w:rPr>
          <w:caps w:val="false"/>
          <w:smallCaps w:val="false"/>
        </w:rPr>
        <w:t> </w:t>
      </w:r>
      <w:bookmarkStart w:id="1240" w:name="xdx_8B1_zXsMcVqTF6f9"/>
      <w:bookmarkEnd w:id="1240"/>
      <w:r>
        <w:rPr>
          <w:rFonts w:ascii="Times New Roman;Times;Serif" w:hAnsi="Times New Roman;Times;Serif"/>
          <w:b w:val="false"/>
          <w:i w:val="false"/>
          <w:caps w:val="false"/>
          <w:smallCaps w:val="false"/>
          <w:sz w:val="20"/>
        </w:rPr>
        <w:t>SCHEDULE OF FUTURE UNDISCOUNTED LEASE PAYMENTS FOR OPERATING LEASES AND RECONCILIATION OF THESE PAYMENTS TO OUR OPERATING LEASE LIABILITIES</w:t>
      </w:r>
    </w:p>
    <w:tbl>
      <w:tblPr>
        <w:tblW w:w="6575" w:type="dxa"/>
        <w:jc w:val="left"/>
        <w:tblInd w:w="0" w:type="dxa"/>
        <w:tblLayout w:type="fixed"/>
        <w:tblCellMar>
          <w:top w:w="0" w:type="dxa"/>
          <w:left w:w="0" w:type="dxa"/>
          <w:bottom w:w="28" w:type="dxa"/>
          <w:right w:w="0" w:type="dxa"/>
        </w:tblCellMar>
      </w:tblPr>
      <w:tblGrid>
        <w:gridCol w:w="2840"/>
        <w:gridCol w:w="60"/>
        <w:gridCol w:w="140"/>
        <w:gridCol w:w="980"/>
        <w:gridCol w:w="60"/>
        <w:gridCol w:w="60"/>
        <w:gridCol w:w="140"/>
        <w:gridCol w:w="980"/>
        <w:gridCol w:w="60"/>
        <w:gridCol w:w="60"/>
        <w:gridCol w:w="140"/>
        <w:gridCol w:w="980"/>
        <w:gridCol w:w="75"/>
      </w:tblGrid>
      <w:tr>
        <w:trPr/>
        <w:tc>
          <w:tcPr>
            <w:tcW w:w="2840" w:type="dxa"/>
            <w:tcBorders>
              <w:bottom w:val="single" w:sz="8" w:space="0" w:color="000000"/>
            </w:tcBorders>
            <w:vAlign w:val="center"/>
          </w:tcPr>
          <w:p>
            <w:pPr>
              <w:pStyle w:val="TableContents"/>
              <w:bidi w:val="0"/>
              <w:spacing w:before="0" w:after="283"/>
              <w:jc w:val="both"/>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Imputed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241" w:name="xdx_984_eus-gaap--LesseeOperatingLeaseLi"/>
            <w:bookmarkEnd w:id="1241"/>
          </w:p>
        </w:tc>
        <w:tc>
          <w:tcPr>
            <w:tcW w:w="980" w:type="dxa"/>
            <w:tcBorders/>
            <w:shd w:fill="CCEEFF" w:val="clear"/>
            <w:tcMar>
              <w:bottom w:w="0" w:type="dxa"/>
            </w:tcMar>
            <w:vAlign w:val="center"/>
          </w:tcPr>
          <w:p>
            <w:pPr>
              <w:pStyle w:val="TableContents"/>
              <w:bidi w:val="0"/>
              <w:spacing w:before="0" w:after="283"/>
              <w:jc w:val="right"/>
              <w:rPr/>
            </w:pPr>
            <w:r>
              <w:rPr/>
              <w:t>772,570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242" w:name="xdx_986_ecustom--LesseeOperatingLeaseLia"/>
            <w:bookmarkEnd w:id="1242"/>
          </w:p>
        </w:tc>
        <w:tc>
          <w:tcPr>
            <w:tcW w:w="980" w:type="dxa"/>
            <w:tcBorders/>
            <w:shd w:fill="CCEEFF" w:val="clear"/>
            <w:tcMar>
              <w:bottom w:w="0" w:type="dxa"/>
            </w:tcMar>
            <w:vAlign w:val="center"/>
          </w:tcPr>
          <w:p>
            <w:pPr>
              <w:pStyle w:val="TableContents"/>
              <w:bidi w:val="0"/>
              <w:spacing w:before="0" w:after="283"/>
              <w:jc w:val="right"/>
              <w:rPr/>
            </w:pPr>
            <w:r>
              <w:rPr/>
              <w:t>379,123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243" w:name="xdx_988_ecustom--LesseeOperatingLeaseLia"/>
            <w:bookmarkEnd w:id="1243"/>
          </w:p>
        </w:tc>
        <w:tc>
          <w:tcPr>
            <w:tcW w:w="980" w:type="dxa"/>
            <w:tcBorders/>
            <w:shd w:fill="CCEEFF" w:val="clear"/>
            <w:tcMar>
              <w:bottom w:w="0" w:type="dxa"/>
            </w:tcMar>
            <w:vAlign w:val="center"/>
          </w:tcPr>
          <w:p>
            <w:pPr>
              <w:pStyle w:val="TableContents"/>
              <w:bidi w:val="0"/>
              <w:spacing w:before="0" w:after="283"/>
              <w:jc w:val="right"/>
              <w:rPr/>
            </w:pPr>
            <w:r>
              <w:rPr/>
              <w:t>393,447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44" w:name="xdx_983_eus-gaap--LesseeOperatingLeaseLi"/>
            <w:bookmarkEnd w:id="1244"/>
          </w:p>
        </w:tc>
        <w:tc>
          <w:tcPr>
            <w:tcW w:w="980" w:type="dxa"/>
            <w:tcBorders/>
            <w:shd w:fill="FFFFFF" w:val="clear"/>
            <w:tcMar>
              <w:bottom w:w="0" w:type="dxa"/>
            </w:tcMar>
            <w:vAlign w:val="center"/>
          </w:tcPr>
          <w:p>
            <w:pPr>
              <w:pStyle w:val="TableContents"/>
              <w:bidi w:val="0"/>
              <w:spacing w:before="0" w:after="283"/>
              <w:jc w:val="right"/>
              <w:rPr/>
            </w:pPr>
            <w:r>
              <w:rPr/>
              <w:t>855,801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45" w:name="xdx_98B_ecustom--LesseeOperatingLeaseLia"/>
            <w:bookmarkEnd w:id="1245"/>
          </w:p>
        </w:tc>
        <w:tc>
          <w:tcPr>
            <w:tcW w:w="980" w:type="dxa"/>
            <w:tcBorders/>
            <w:shd w:fill="FFFFFF" w:val="clear"/>
            <w:tcMar>
              <w:bottom w:w="0" w:type="dxa"/>
            </w:tcMar>
            <w:vAlign w:val="center"/>
          </w:tcPr>
          <w:p>
            <w:pPr>
              <w:pStyle w:val="TableContents"/>
              <w:bidi w:val="0"/>
              <w:spacing w:before="0" w:after="283"/>
              <w:jc w:val="right"/>
              <w:rPr/>
            </w:pPr>
            <w:r>
              <w:rPr/>
              <w:t>342,602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46" w:name="xdx_986_ecustom--LesseeOperatingLeaseLia"/>
            <w:bookmarkEnd w:id="1246"/>
          </w:p>
        </w:tc>
        <w:tc>
          <w:tcPr>
            <w:tcW w:w="980" w:type="dxa"/>
            <w:tcBorders/>
            <w:shd w:fill="FFFFFF" w:val="clear"/>
            <w:tcMar>
              <w:bottom w:w="0" w:type="dxa"/>
            </w:tcMar>
            <w:vAlign w:val="center"/>
          </w:tcPr>
          <w:p>
            <w:pPr>
              <w:pStyle w:val="TableContents"/>
              <w:bidi w:val="0"/>
              <w:spacing w:before="0" w:after="283"/>
              <w:jc w:val="right"/>
              <w:rPr/>
            </w:pPr>
            <w:r>
              <w:rPr/>
              <w:t>513,199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47" w:name="xdx_98C_eus-gaap--LesseeOperatingLeaseLi"/>
            <w:bookmarkEnd w:id="1247"/>
          </w:p>
        </w:tc>
        <w:tc>
          <w:tcPr>
            <w:tcW w:w="980" w:type="dxa"/>
            <w:tcBorders/>
            <w:shd w:fill="CCEEFF" w:val="clear"/>
            <w:tcMar>
              <w:bottom w:w="0" w:type="dxa"/>
            </w:tcMar>
            <w:vAlign w:val="center"/>
          </w:tcPr>
          <w:p>
            <w:pPr>
              <w:pStyle w:val="TableContents"/>
              <w:bidi w:val="0"/>
              <w:spacing w:before="0" w:after="283"/>
              <w:jc w:val="right"/>
              <w:rPr/>
            </w:pPr>
            <w:r>
              <w:rPr/>
              <w:t>870,897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48" w:name="xdx_987_ecustom--LesseeOperatingLeaseLia"/>
            <w:bookmarkEnd w:id="1248"/>
          </w:p>
        </w:tc>
        <w:tc>
          <w:tcPr>
            <w:tcW w:w="980" w:type="dxa"/>
            <w:tcBorders/>
            <w:shd w:fill="CCEEFF" w:val="clear"/>
            <w:tcMar>
              <w:bottom w:w="0" w:type="dxa"/>
            </w:tcMar>
            <w:vAlign w:val="center"/>
          </w:tcPr>
          <w:p>
            <w:pPr>
              <w:pStyle w:val="TableContents"/>
              <w:bidi w:val="0"/>
              <w:spacing w:before="0" w:after="283"/>
              <w:jc w:val="right"/>
              <w:rPr/>
            </w:pPr>
            <w:r>
              <w:rPr/>
              <w:t>296,320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49" w:name="xdx_983_ecustom--LesseeOperatingLeaseLia"/>
            <w:bookmarkEnd w:id="1249"/>
          </w:p>
        </w:tc>
        <w:tc>
          <w:tcPr>
            <w:tcW w:w="980" w:type="dxa"/>
            <w:tcBorders/>
            <w:shd w:fill="CCEEFF" w:val="clear"/>
            <w:tcMar>
              <w:bottom w:w="0" w:type="dxa"/>
            </w:tcMar>
            <w:vAlign w:val="center"/>
          </w:tcPr>
          <w:p>
            <w:pPr>
              <w:pStyle w:val="TableContents"/>
              <w:bidi w:val="0"/>
              <w:spacing w:before="0" w:after="283"/>
              <w:jc w:val="right"/>
              <w:rPr/>
            </w:pPr>
            <w:r>
              <w:rPr/>
              <w:t>574,577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50" w:name="xdx_98D_eus-gaap--LesseeOperatingLeaseLi"/>
            <w:bookmarkEnd w:id="1250"/>
          </w:p>
        </w:tc>
        <w:tc>
          <w:tcPr>
            <w:tcW w:w="980" w:type="dxa"/>
            <w:tcBorders/>
            <w:shd w:fill="FFFFFF" w:val="clear"/>
            <w:tcMar>
              <w:bottom w:w="0" w:type="dxa"/>
            </w:tcMar>
            <w:vAlign w:val="center"/>
          </w:tcPr>
          <w:p>
            <w:pPr>
              <w:pStyle w:val="TableContents"/>
              <w:bidi w:val="0"/>
              <w:spacing w:before="0" w:after="283"/>
              <w:jc w:val="right"/>
              <w:rPr/>
            </w:pPr>
            <w:r>
              <w:rPr/>
              <w:t>885,514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51" w:name="xdx_984_ecustom--LesseeOperatingLeaseLia"/>
            <w:bookmarkEnd w:id="1251"/>
          </w:p>
        </w:tc>
        <w:tc>
          <w:tcPr>
            <w:tcW w:w="980" w:type="dxa"/>
            <w:tcBorders/>
            <w:shd w:fill="FFFFFF" w:val="clear"/>
            <w:tcMar>
              <w:bottom w:w="0" w:type="dxa"/>
            </w:tcMar>
            <w:vAlign w:val="center"/>
          </w:tcPr>
          <w:p>
            <w:pPr>
              <w:pStyle w:val="TableContents"/>
              <w:bidi w:val="0"/>
              <w:spacing w:before="0" w:after="283"/>
              <w:jc w:val="right"/>
              <w:rPr/>
            </w:pPr>
            <w:r>
              <w:rPr/>
              <w:t>245,404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252" w:name="xdx_98E_ecustom--LesseeOperatingLeaseLia"/>
            <w:bookmarkEnd w:id="1252"/>
          </w:p>
        </w:tc>
        <w:tc>
          <w:tcPr>
            <w:tcW w:w="980" w:type="dxa"/>
            <w:tcBorders/>
            <w:shd w:fill="FFFFFF" w:val="clear"/>
            <w:tcMar>
              <w:bottom w:w="0" w:type="dxa"/>
            </w:tcMar>
            <w:vAlign w:val="center"/>
          </w:tcPr>
          <w:p>
            <w:pPr>
              <w:pStyle w:val="TableContents"/>
              <w:bidi w:val="0"/>
              <w:spacing w:before="0" w:after="283"/>
              <w:jc w:val="right"/>
              <w:rPr/>
            </w:pPr>
            <w:r>
              <w:rPr/>
              <w:t>640,110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53" w:name="xdx_98C_eus-gaap--LesseeOperatingLeaseLi"/>
            <w:bookmarkEnd w:id="1253"/>
          </w:p>
        </w:tc>
        <w:tc>
          <w:tcPr>
            <w:tcW w:w="980" w:type="dxa"/>
            <w:tcBorders/>
            <w:shd w:fill="CCEEFF" w:val="clear"/>
            <w:tcMar>
              <w:bottom w:w="0" w:type="dxa"/>
            </w:tcMar>
            <w:vAlign w:val="center"/>
          </w:tcPr>
          <w:p>
            <w:pPr>
              <w:pStyle w:val="TableContents"/>
              <w:bidi w:val="0"/>
              <w:spacing w:before="0" w:after="283"/>
              <w:jc w:val="right"/>
              <w:rPr/>
            </w:pPr>
            <w:r>
              <w:rPr/>
              <w:t>920,933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54" w:name="xdx_981_ecustom--LesseeOperatingLeaseLia"/>
            <w:bookmarkEnd w:id="1254"/>
          </w:p>
        </w:tc>
        <w:tc>
          <w:tcPr>
            <w:tcW w:w="980" w:type="dxa"/>
            <w:tcBorders/>
            <w:shd w:fill="CCEEFF" w:val="clear"/>
            <w:tcMar>
              <w:bottom w:w="0" w:type="dxa"/>
            </w:tcMar>
            <w:vAlign w:val="center"/>
          </w:tcPr>
          <w:p>
            <w:pPr>
              <w:pStyle w:val="TableContents"/>
              <w:bidi w:val="0"/>
              <w:spacing w:before="0" w:after="283"/>
              <w:jc w:val="right"/>
              <w:rPr/>
            </w:pPr>
            <w:r>
              <w:rPr/>
              <w:t>187,156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255" w:name="xdx_984_ecustom--LesseeOperatingLeaseLia"/>
            <w:bookmarkEnd w:id="1255"/>
          </w:p>
        </w:tc>
        <w:tc>
          <w:tcPr>
            <w:tcW w:w="980" w:type="dxa"/>
            <w:tcBorders/>
            <w:shd w:fill="CCEEFF" w:val="clear"/>
            <w:tcMar>
              <w:bottom w:w="0" w:type="dxa"/>
            </w:tcMar>
            <w:vAlign w:val="center"/>
          </w:tcPr>
          <w:p>
            <w:pPr>
              <w:pStyle w:val="TableContents"/>
              <w:bidi w:val="0"/>
              <w:spacing w:before="0" w:after="283"/>
              <w:jc w:val="right"/>
              <w:rPr/>
            </w:pPr>
            <w:r>
              <w:rPr/>
              <w:t>733,777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256" w:name="xdx_980_eus-gaap--LesseeOperatingLeaseLi"/>
            <w:bookmarkEnd w:id="1256"/>
          </w:p>
        </w:tc>
        <w:tc>
          <w:tcPr>
            <w:tcW w:w="980" w:type="dxa"/>
            <w:tcBorders>
              <w:bottom w:val="single" w:sz="8" w:space="0" w:color="000000"/>
            </w:tcBorders>
            <w:shd w:fill="FFFFFF" w:val="clear"/>
            <w:vAlign w:val="center"/>
          </w:tcPr>
          <w:p>
            <w:pPr>
              <w:pStyle w:val="TableContents"/>
              <w:bidi w:val="0"/>
              <w:spacing w:before="0" w:after="283"/>
              <w:jc w:val="right"/>
              <w:rPr/>
            </w:pPr>
            <w:r>
              <w:rPr/>
              <w:t>2,039,891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257" w:name="xdx_987_ecustom--LesseeOperatingLeaseLia"/>
            <w:bookmarkEnd w:id="1257"/>
          </w:p>
        </w:tc>
        <w:tc>
          <w:tcPr>
            <w:tcW w:w="980" w:type="dxa"/>
            <w:tcBorders>
              <w:bottom w:val="single" w:sz="8" w:space="0" w:color="000000"/>
            </w:tcBorders>
            <w:shd w:fill="FFFFFF" w:val="clear"/>
            <w:vAlign w:val="center"/>
          </w:tcPr>
          <w:p>
            <w:pPr>
              <w:pStyle w:val="TableContents"/>
              <w:bidi w:val="0"/>
              <w:spacing w:before="0" w:after="283"/>
              <w:jc w:val="right"/>
              <w:rPr/>
            </w:pPr>
            <w:r>
              <w:rPr/>
              <w:t>165,313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258" w:name="xdx_98F_ecustom--LesseeOperatingLeaseLia"/>
            <w:bookmarkEnd w:id="1258"/>
          </w:p>
        </w:tc>
        <w:tc>
          <w:tcPr>
            <w:tcW w:w="980" w:type="dxa"/>
            <w:tcBorders>
              <w:bottom w:val="single" w:sz="8" w:space="0" w:color="000000"/>
            </w:tcBorders>
            <w:shd w:fill="FFFFFF" w:val="clear"/>
            <w:vAlign w:val="center"/>
          </w:tcPr>
          <w:p>
            <w:pPr>
              <w:pStyle w:val="TableContents"/>
              <w:bidi w:val="0"/>
              <w:spacing w:before="0" w:after="283"/>
              <w:jc w:val="right"/>
              <w:rPr/>
            </w:pPr>
            <w:r>
              <w:rPr/>
              <w:t>1,874,578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both"/>
              <w:rPr/>
            </w:pPr>
            <w:r>
              <w:rPr/>
              <w:t>Total future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1259" w:name="xdx_980_eus-gaap--LesseeOperatingLeaseLi"/>
            <w:bookmarkEnd w:id="1259"/>
          </w:p>
        </w:tc>
        <w:tc>
          <w:tcPr>
            <w:tcW w:w="980" w:type="dxa"/>
            <w:tcBorders>
              <w:bottom w:val="double" w:sz="6" w:space="0" w:color="000000"/>
            </w:tcBorders>
            <w:shd w:fill="CCEEFF" w:val="clear"/>
            <w:vAlign w:val="center"/>
          </w:tcPr>
          <w:p>
            <w:pPr>
              <w:pStyle w:val="TableContents"/>
              <w:bidi w:val="0"/>
              <w:spacing w:before="0" w:after="283"/>
              <w:jc w:val="right"/>
              <w:rPr/>
            </w:pPr>
            <w:r>
              <w:rPr/>
              <w:t>6,345,606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1260" w:name="xdx_988_eus-gaap--LesseeOperatingLeaseLi"/>
            <w:bookmarkEnd w:id="1260"/>
          </w:p>
        </w:tc>
        <w:tc>
          <w:tcPr>
            <w:tcW w:w="980" w:type="dxa"/>
            <w:tcBorders>
              <w:bottom w:val="double" w:sz="6" w:space="0" w:color="000000"/>
            </w:tcBorders>
            <w:shd w:fill="CCEEFF" w:val="clear"/>
            <w:vAlign w:val="center"/>
          </w:tcPr>
          <w:p>
            <w:pPr>
              <w:pStyle w:val="TableContents"/>
              <w:bidi w:val="0"/>
              <w:spacing w:before="0" w:after="283"/>
              <w:jc w:val="right"/>
              <w:rPr/>
            </w:pPr>
            <w:r>
              <w:rPr/>
              <w:t>1,615,918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bookmarkStart w:id="1261" w:name="xdx_98A_eus-gaap--OperatingLeaseLiabilit"/>
            <w:bookmarkEnd w:id="1261"/>
          </w:p>
        </w:tc>
        <w:tc>
          <w:tcPr>
            <w:tcW w:w="980" w:type="dxa"/>
            <w:tcBorders>
              <w:bottom w:val="double" w:sz="6" w:space="0" w:color="000000"/>
            </w:tcBorders>
            <w:shd w:fill="CCEEFF" w:val="clear"/>
            <w:vAlign w:val="center"/>
          </w:tcPr>
          <w:p>
            <w:pPr>
              <w:pStyle w:val="TableContents"/>
              <w:bidi w:val="0"/>
              <w:spacing w:before="0" w:after="283"/>
              <w:jc w:val="right"/>
              <w:rPr/>
            </w:pPr>
            <w:r>
              <w:rPr/>
              <w:t>4,729,688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262" w:name="xdx_8AB_zpR64ytj9yhd"/>
      <w:bookmarkEnd w:id="126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63" w:name="xdx_80A_eus-gaap--CommitmentsAndContinge"/>
      <w:bookmarkEnd w:id="1263"/>
      <w:r>
        <w:rPr>
          <w:rFonts w:ascii="Times New Roman;Times;Serif" w:hAnsi="Times New Roman;Times;Serif"/>
          <w:b/>
          <w:i w:val="false"/>
          <w:caps w:val="false"/>
          <w:smallCaps w:val="false"/>
          <w:sz w:val="20"/>
        </w:rPr>
        <w:t xml:space="preserve">NOTE 15 – </w:t>
      </w:r>
      <w:bookmarkStart w:id="1264" w:name="xdx_827_z5antTrCCpe7"/>
      <w:bookmarkEnd w:id="126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claims and contingencies related to lawsuits and other matters arising out of the normal course of business, including matters related to employment, labor and workplace practices as well as notifications alleging infringement of patent or other intellectual property rights. We are subject to a variety of claims and we evaluate these claims on a case-by-case basis. While claims and contingencies of such matters cannot be predicted, the Company may be involve in legal proceedings. Such proceedings may include claims involving former or current employees, such as those relating to wrongful termination, discrimination, harassment, wage and hour compliance, or other employment-related matters. The Company has elected to expense legal costs associated with legal contingencies as incurred.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Times;Serif" w:hAnsi="Times New Roman;Times;Serif"/>
          <w:b w:val="false"/>
          <w:i/>
          <w:caps w:val="false"/>
          <w:smallCaps w:val="false"/>
          <w:sz w:val="20"/>
        </w:rPr>
        <w:t>Myth of Empires</w:t>
      </w:r>
      <w:r>
        <w:rPr>
          <w:rFonts w:ascii="Times New Roman;Times;Serif" w:hAnsi="Times New Roman;Times;Serif"/>
          <w:b w:val="false"/>
          <w:i w:val="false"/>
          <w:caps w:val="false"/>
          <w:smallCaps w:val="false"/>
          <w:sz w:val="20"/>
        </w:rPr>
        <w:t>, which was developed by Suzhou Angela Online Game Technology Co., Ltd. (“Angela Game”) and published by Imperium Interactive Entertainment Limited (“Imperium”).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source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the Company entered into a settlement agreement with Angela Game. The settlement agreement includes an upfront payment from Angela Game to the Company plus ongoing payments.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Bel Air Soto, LLC (“Plaintiff”) filed suit in the Superior Court of California, County of Los Angeles, against Snail Games USA Inc. and INDIEV, an affiliate company that is owned by Mr. Hai Shi, the Company’s Founder, 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w:t>
      </w:r>
      <w:bookmarkStart w:id="1265" w:name="xdx_905_eus-gaap--LossContingencyDamages"/>
      <w:bookmarkEnd w:id="1265"/>
      <w:r>
        <w:rPr>
          <w:rFonts w:ascii="Times New Roman;Times;Serif" w:hAnsi="Times New Roman;Times;Serif"/>
          <w:b w:val="false"/>
          <w:i w:val="false"/>
          <w:caps w:val="false"/>
          <w:smallCaps w:val="false"/>
          <w:sz w:val="20"/>
        </w:rPr>
        <w:t>3 million. The Company disputes the allegations and the amount of damages. The Company has responded to the complaint with an answer and cross-complaint. The cross-complaint seeks return for the $</w:t>
      </w:r>
      <w:bookmarkStart w:id="1266" w:name="xdx_90F_eus-gaap--SecurityDeposit_iI_c20"/>
      <w:bookmarkEnd w:id="1266"/>
      <w:r>
        <w:rPr>
          <w:rFonts w:ascii="Times New Roman;Times;Serif" w:hAnsi="Times New Roman;Times;Serif"/>
          <w:b w:val="false"/>
          <w:i w:val="false"/>
          <w:caps w:val="false"/>
          <w:smallCaps w:val="false"/>
          <w:sz w:val="20"/>
        </w:rPr>
        <w:t>130,000 security deposit. The landlord has answered and denied the allegations of the cross-complaint. Snail Games USA Inc. denies exercising the option to extend and has vigorously defended against the claims asserted. The Plaintiff recently amended its complaint to expand its claims in the ongoing litigation by adding Mr. Hai Shi and the Company as additional defendants. The landlord alleges that the Company is exclusively controlled by Mr. Shi and they act as the alter egos of Snail Games USA, Inc. and INDIEV and therefore should be liable for the underlying liability. Once again, the Company denies these new allegations and will vigorously defend against these new claims. The present trail date is December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mandatory settlement conference in the case which did not yield a settlement. The trial is presently scheduled to commence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Snail Games USA Inc. entered into an indemnity and reimbursement agreement with INDIEV, dated as of April 1, 2023, pursuant to which INDIEV agreed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INDIEV filed for bankruptcy and the Company does not expect to recover its costs from INDIEV. Accordingly, INDIEV will not be able to indemnify the Company due to its bankruptcy. At this time, the Company is unable to quantify the magnitude of the potential loss should the plaintiffs’ lawsuit succeed and accordingly no accrual for loss has been recorded in the accompanying financial statements. However, the Company does not believe that the outcome of this litigation will have a material adverse effect on its consolidated financial position, results of operations, or cash flows and believes the likelihood of a loss to the Company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w:t>
      </w:r>
      <w:bookmarkStart w:id="1267" w:name="xdx_90C_eus-gaap--CommitmentsFairValueDi"/>
      <w:bookmarkEnd w:id="1267"/>
      <w:r>
        <w:rPr>
          <w:rFonts w:ascii="Times New Roman;Times;Serif" w:hAnsi="Times New Roman;Times;Serif"/>
          <w:b w:val="false"/>
          <w:i w:val="false"/>
          <w:caps w:val="false"/>
          <w:smallCaps w:val="false"/>
          <w:sz w:val="20"/>
        </w:rPr>
        <w:t xml:space="preserve">1.5 million as of December 31, 2025. The Company also has a license agreement with its related party SDE for the exclusive publishing rights of the </w:t>
      </w:r>
      <w:r>
        <w:rPr>
          <w:rFonts w:ascii="Times New Roman;Times;Serif" w:hAnsi="Times New Roman;Times;Serif"/>
          <w:b w:val="false"/>
          <w:i/>
          <w:caps w:val="false"/>
          <w:smallCaps w:val="false"/>
          <w:sz w:val="20"/>
        </w:rPr>
        <w:t>ARK</w:t>
      </w:r>
      <w:r>
        <w:rPr>
          <w:rFonts w:ascii="Times New Roman;Times;Serif" w:hAnsi="Times New Roman;Times;Serif"/>
          <w:b w:val="false"/>
          <w:i w:val="false"/>
          <w:caps w:val="false"/>
          <w:smallCaps w:val="false"/>
          <w:sz w:val="20"/>
        </w:rPr>
        <w:t xml:space="preserve"> franchise. In consideration of the publishing rights the Company will pay SDE a fixed monthly license fee of $</w:t>
      </w:r>
      <w:bookmarkStart w:id="1268" w:name="xdx_90F_eus-gaap--PaymentsForFees_pn5n6_"/>
      <w:bookmarkEnd w:id="1268"/>
      <w:r>
        <w:rPr>
          <w:rFonts w:ascii="Times New Roman;Times;Serif" w:hAnsi="Times New Roman;Times;Serif"/>
          <w:b w:val="false"/>
          <w:i w:val="false"/>
          <w:caps w:val="false"/>
          <w:smallCaps w:val="false"/>
          <w:sz w:val="20"/>
        </w:rPr>
        <w:t xml:space="preserve">2.0 million until </w:t>
      </w:r>
      <w:r>
        <w:rPr>
          <w:rFonts w:ascii="Times New Roman;Times;Serif" w:hAnsi="Times New Roman;Times;Serif"/>
          <w:b w:val="false"/>
          <w:i/>
          <w:caps w:val="false"/>
          <w:smallCaps w:val="false"/>
          <w:sz w:val="20"/>
        </w:rPr>
        <w:t xml:space="preserve">ARK II </w:t>
      </w:r>
      <w:r>
        <w:rPr>
          <w:rFonts w:ascii="Times New Roman;Times;Serif" w:hAnsi="Times New Roman;Times;Serif"/>
          <w:b w:val="false"/>
          <w:i w:val="false"/>
          <w:caps w:val="false"/>
          <w:smallCaps w:val="false"/>
          <w:sz w:val="20"/>
        </w:rPr>
        <w:t xml:space="preserve">releases. Our commitments assume satisfactory performance by our related party software developer. See Note 10 – </w:t>
      </w:r>
      <w:r>
        <w:rPr>
          <w:rFonts w:ascii="Times New Roman;Times;Serif" w:hAnsi="Times New Roman;Times;Serif"/>
          <w:b w:val="false"/>
          <w:i/>
          <w:caps w:val="false"/>
          <w:smallCaps w:val="false"/>
          <w:sz w:val="20"/>
        </w:rPr>
        <w:t>Accounts Payable – Related Parties</w:t>
      </w:r>
      <w:r>
        <w:rPr>
          <w:rFonts w:ascii="Times New Roman;Times;Serif" w:hAnsi="Times New Roman;Times;Serif"/>
          <w:b w:val="false"/>
          <w:i w:val="false"/>
          <w:caps w:val="false"/>
          <w:smallCaps w:val="false"/>
          <w:sz w:val="20"/>
        </w:rPr>
        <w:t xml:space="preserve"> and Note 20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more information.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69" w:name="xdx_806_eus-gaap--EarningsPerShareTextBl"/>
      <w:bookmarkEnd w:id="1269"/>
      <w:r>
        <w:rPr>
          <w:rFonts w:ascii="Times New Roman;Times;Serif" w:hAnsi="Times New Roman;Times;Serif"/>
          <w:b/>
          <w:i w:val="false"/>
          <w:caps w:val="false"/>
          <w:smallCaps w:val="false"/>
          <w:sz w:val="20"/>
        </w:rPr>
        <w:t xml:space="preserve">NOTE 16 – </w:t>
      </w:r>
      <w:bookmarkStart w:id="1270" w:name="xdx_825_z4w7oTIgWXj1"/>
      <w:bookmarkEnd w:id="1270"/>
      <w:r>
        <w:rPr>
          <w:rFonts w:ascii="Times New Roman;Times;Serif" w:hAnsi="Times New Roman;Times;Serif"/>
          <w:b/>
          <w:i w:val="false"/>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 class method to compute its basic earnings (loss) per share (“Basic EPS”) and diluted earnings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and if-converted methods, as applicable. The following table provides a reconciliation of the weighted average number of shares used in the calculation of Basic and Diluted EPS.</w:t>
      </w:r>
    </w:p>
    <w:p>
      <w:pPr>
        <w:pStyle w:val="TextBody"/>
        <w:bidi w:val="0"/>
        <w:spacing w:before="0" w:after="0"/>
        <w:ind w:left="0" w:right="0" w:hanging="0"/>
        <w:jc w:val="both"/>
        <w:rPr>
          <w:caps w:val="false"/>
          <w:smallCaps w:val="false"/>
        </w:rPr>
      </w:pPr>
      <w:bookmarkStart w:id="1271" w:name="xdx_896_eus-gaap--ScheduleOfEarningsPerS"/>
      <w:bookmarkEnd w:id="1271"/>
      <w:r>
        <w:rPr>
          <w:caps w:val="false"/>
          <w:smallCaps w:val="false"/>
        </w:rPr>
        <w:t> </w:t>
      </w:r>
      <w:bookmarkStart w:id="1272" w:name="xdx_8BA_z35FP1vfO3le"/>
      <w:bookmarkEnd w:id="1272"/>
      <w:r>
        <w:rPr>
          <w:rFonts w:ascii="Times New Roman;Times;Serif" w:hAnsi="Times New Roman;Times;Serif"/>
          <w:b w:val="false"/>
          <w:i w:val="false"/>
          <w:caps w:val="false"/>
          <w:smallCaps w:val="false"/>
          <w:sz w:val="20"/>
        </w:rPr>
        <w:t>SCHEDULE OF EARNINGS PER SHARE</w:t>
      </w:r>
    </w:p>
    <w:tbl>
      <w:tblPr>
        <w:tblW w:w="7665" w:type="dxa"/>
        <w:jc w:val="left"/>
        <w:tblInd w:w="0" w:type="dxa"/>
        <w:tblLayout w:type="fixed"/>
        <w:tblCellMar>
          <w:top w:w="0" w:type="dxa"/>
          <w:left w:w="0" w:type="dxa"/>
          <w:bottom w:w="0" w:type="dxa"/>
          <w:right w:w="0" w:type="dxa"/>
        </w:tblCellMar>
      </w:tblPr>
      <w:tblGrid>
        <w:gridCol w:w="5135"/>
        <w:gridCol w:w="60"/>
        <w:gridCol w:w="125"/>
        <w:gridCol w:w="1010"/>
        <w:gridCol w:w="125"/>
        <w:gridCol w:w="60"/>
        <w:gridCol w:w="125"/>
        <w:gridCol w:w="950"/>
        <w:gridCol w:w="75"/>
      </w:tblGrid>
      <w:tr>
        <w:trPr/>
        <w:tc>
          <w:tcPr>
            <w:tcW w:w="51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273" w:name="xdx_495_20250101__20251231_zngHPHrB43O3"/>
            <w:bookmarkEnd w:id="1273"/>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274" w:name="xdx_499_20240101__20241231_zLq6J6IrF94b"/>
            <w:bookmarkEnd w:id="1274"/>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1275" w:name="xdx_40F_eus-gaap--EarningsPerShareBasicA"/>
            <w:bookmarkEnd w:id="1275"/>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6" w:name="xdx_409_eus-gaap--NetIncomeLossAvailable"/>
            <w:bookmarkEnd w:id="1276"/>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A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(6,322,162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77" w:name="xdx_404_eus-gaap--NetIncomeLossAvailable"/>
            <w:bookmarkEnd w:id="1277"/>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B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(20,912,963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1,431,364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8" w:name="xdx_402_eus-gaap--NetIncomeLossAvailable"/>
            <w:bookmarkEnd w:id="1278"/>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(20,912,963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1,431,364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9" w:name="xdx_402_eus-gaap--NetIncomeLoss_z1ZbqKqM"/>
            <w:bookmarkEnd w:id="1279"/>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income (loss) attributable to Snail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(27,235,125</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1,831,940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0" w:name="xdx_40D_eus-gaap--WeightedAverageNumberO"/>
            <w:bookmarkEnd w:id="1280"/>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weighted average shares outstanding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8,690,934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8,045,469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1" w:name="xdx_40E_eus-gaap--WeightedAverageNumberO"/>
            <w:bookmarkEnd w:id="1281"/>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weighted average shares outstanding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2" w:name="xdx_409_eus-gaap--WeightedAverageNumberO"/>
            <w:bookmarkEnd w:id="1282"/>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3" w:name="xdx_407_eus-gaap--EarningsPerShareBasic_"/>
            <w:bookmarkEnd w:id="1283"/>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and B basic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4" w:name="xdx_40E_eus-gaap--EarningsPerShareDilute"/>
            <w:bookmarkEnd w:id="1284"/>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Earnings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5" w:name="xdx_408_eus-gaap--NetIncomeLossAttributa"/>
            <w:bookmarkEnd w:id="1285"/>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A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(6,322,162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6" w:name="xdx_40D_ecustom--AmountOfDilutiveSecurit"/>
            <w:bookmarkEnd w:id="1286"/>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effects of convertible notes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7" w:name="xdx_40A_ecustom--NetIncomeLossAvailableT"/>
            <w:bookmarkEnd w:id="1287"/>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A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(6,322,162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8" w:name="xdx_409_eus-gaap--NetIncomeLossAttributa"/>
            <w:bookmarkEnd w:id="1288"/>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B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(20,912,963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1,431,364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9" w:name="xdx_403_eus-gaap--NetIncomeLossAttributa"/>
            <w:bookmarkEnd w:id="1289"/>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(20,912,963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1,431,364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0" w:name="xdx_40D_ecustom--AmountOfDilutiveSecurit"/>
            <w:bookmarkEnd w:id="1290"/>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effects of convertible notes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(376,226</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1" w:name="xdx_404_ecustom--NetIncomeLossAvailableT"/>
            <w:bookmarkEnd w:id="1291"/>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Class B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(21,289,189</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1,431,364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2" w:name="xdx_407_eus-gaap--WeightedAverageNumberO"/>
            <w:bookmarkEnd w:id="1292"/>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weighted average shares outstanding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8,690,934</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8,045,469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3" w:name="xdx_403_ecustom--AmountOfDilutiveSecurit"/>
            <w:bookmarkEnd w:id="1293"/>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effects of convertible notes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4" w:name="xdx_403_eus-gaap--WeightedAverageNumberO"/>
            <w:bookmarkEnd w:id="1294"/>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weighted average shares outstanding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8,690,934</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8,045,469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5" w:name="xdx_403_eus-gaap--WeightedAverageNumberO"/>
            <w:bookmarkEnd w:id="1295"/>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weighted average shares outstanding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6" w:name="xdx_401_eus-gaap--WeightedAverageNumberO"/>
            <w:bookmarkEnd w:id="1296"/>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shares outstanding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7" w:name="xdx_40B_ecustom--AmountOfDilutiveSecurit"/>
            <w:bookmarkEnd w:id="1297"/>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effects of convertible note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8" w:name="xdx_40D_eus-gaap--WeightedAverageNumberO"/>
            <w:bookmarkEnd w:id="1298"/>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weighted average shares outstanding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9" w:name="xdx_40B_eus-gaap--WeightedAverageNumberO"/>
            <w:bookmarkEnd w:id="1299"/>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00" w:name="xdx_40C_eus-gaap--EarningsPerShareDilute"/>
            <w:bookmarkEnd w:id="1300"/>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Class A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01" w:name="xdx_408_eus-gaap--EarningsPerShareDilute"/>
            <w:bookmarkEnd w:id="1301"/>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Class B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02" w:name="xdx_406_eus-gaap--EarningsPerShareDilute"/>
            <w:bookmarkEnd w:id="1302"/>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303" w:name="xdx_8A2_zausVAGcxze8"/>
      <w:bookmarkEnd w:id="13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04" w:name="xdx_894_eus-gaap--ScheduleOfAntidilutive"/>
      <w:bookmarkEnd w:id="1304"/>
      <w:r>
        <w:rPr>
          <w:rFonts w:ascii="Times New Roman;Times;Serif" w:hAnsi="Times New Roman;Times;Serif"/>
          <w:b w:val="false"/>
          <w:i w:val="false"/>
          <w:caps w:val="false"/>
          <w:smallCaps w:val="false"/>
          <w:sz w:val="20"/>
        </w:rPr>
        <w:t>The following table provides a listing of shares excluded from the calculation of Diluted EPS due to their anti-dilutive effects:</w:t>
      </w:r>
    </w:p>
    <w:p>
      <w:pPr>
        <w:pStyle w:val="TextBody"/>
        <w:bidi w:val="0"/>
        <w:spacing w:before="0" w:after="0"/>
        <w:ind w:left="0" w:right="0" w:hanging="0"/>
        <w:jc w:val="both"/>
        <w:rPr>
          <w:caps w:val="false"/>
          <w:smallCaps w:val="false"/>
        </w:rPr>
      </w:pPr>
      <w:r>
        <w:rPr>
          <w:caps w:val="false"/>
          <w:smallCaps w:val="false"/>
        </w:rPr>
        <w:t> </w:t>
      </w:r>
      <w:bookmarkStart w:id="1305" w:name="xdx_8B0_zGnghA1vkQ46"/>
      <w:bookmarkEnd w:id="1305"/>
      <w:r>
        <w:rPr>
          <w:rFonts w:ascii="Times New Roman;Times;Serif" w:hAnsi="Times New Roman;Times;Serif"/>
          <w:b w:val="false"/>
          <w:i w:val="false"/>
          <w:caps w:val="false"/>
          <w:smallCaps w:val="false"/>
          <w:sz w:val="20"/>
        </w:rPr>
        <w:t>SCHEDULE OF ANTI-DILUTIVE SHARES AND SECURITIES</w:t>
      </w:r>
    </w:p>
    <w:tbl>
      <w:tblPr>
        <w:tblW w:w="6830" w:type="dxa"/>
        <w:jc w:val="left"/>
        <w:tblInd w:w="0" w:type="dxa"/>
        <w:tblLayout w:type="fixed"/>
        <w:tblCellMar>
          <w:top w:w="0" w:type="dxa"/>
          <w:left w:w="0" w:type="dxa"/>
          <w:bottom w:w="0" w:type="dxa"/>
          <w:right w:w="0" w:type="dxa"/>
        </w:tblCellMar>
      </w:tblPr>
      <w:tblGrid>
        <w:gridCol w:w="3200"/>
        <w:gridCol w:w="60"/>
        <w:gridCol w:w="60"/>
        <w:gridCol w:w="980"/>
        <w:gridCol w:w="60"/>
        <w:gridCol w:w="60"/>
        <w:gridCol w:w="60"/>
        <w:gridCol w:w="980"/>
        <w:gridCol w:w="60"/>
        <w:gridCol w:w="60"/>
        <w:gridCol w:w="1250"/>
      </w:tblGrid>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06" w:name="xdx_49F_20250101__20251231_zDGeSEBm1616"/>
            <w:bookmarkEnd w:id="130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7" w:name="xdx_498_20240101__20241231_zqEHb6qCodBf"/>
            <w:bookmarkEnd w:id="130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b/>
              </w:rPr>
            </w:pPr>
            <w:r>
              <w:rPr>
                <w:b/>
              </w:rPr>
              <w:t>Method</w:t>
            </w:r>
          </w:p>
        </w:tc>
      </w:tr>
      <w:tr>
        <w:trPr/>
        <w:tc>
          <w:tcPr>
            <w:tcW w:w="3200" w:type="dxa"/>
            <w:tcBorders/>
            <w:shd w:fill="CCEEFF" w:val="clear"/>
            <w:vAlign w:val="center"/>
          </w:tcPr>
          <w:p>
            <w:pPr>
              <w:pStyle w:val="TableContents"/>
              <w:bidi w:val="0"/>
              <w:spacing w:before="0" w:after="283"/>
              <w:jc w:val="left"/>
              <w:rPr>
                <w:b/>
              </w:rPr>
            </w:pPr>
            <w:r>
              <w:rPr>
                <w:b/>
              </w:rPr>
              <w:t>Excluded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bookmarkStart w:id="1308" w:name="xdx_402_eus-gaap--AntidilutiveSecurities"/>
            <w:bookmarkEnd w:id="1308"/>
          </w:p>
        </w:tc>
      </w:tr>
      <w:tr>
        <w:trPr/>
        <w:tc>
          <w:tcPr>
            <w:tcW w:w="3200" w:type="dxa"/>
            <w:tcBorders/>
            <w:shd w:fill="FFFFFF" w:val="clear"/>
            <w:vAlign w:val="center"/>
          </w:tcPr>
          <w:p>
            <w:pPr>
              <w:pStyle w:val="TableContents"/>
              <w:bidi w:val="0"/>
              <w:spacing w:before="0" w:after="283"/>
              <w:jc w:val="left"/>
              <w:rPr/>
            </w:pPr>
            <w:r>
              <w:rPr/>
              <w:t>Restricted stock units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1,194,024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1,142,284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Treasury</w:t>
            </w:r>
            <w:bookmarkStart w:id="1309" w:name="xdx_40A_eus-gaap--AntidilutiveSecurities"/>
            <w:bookmarkEnd w:id="1309"/>
          </w:p>
        </w:tc>
      </w:tr>
      <w:tr>
        <w:trPr/>
        <w:tc>
          <w:tcPr>
            <w:tcW w:w="3200" w:type="dxa"/>
            <w:tcBorders/>
            <w:shd w:fill="CCEEFF" w:val="clear"/>
            <w:vAlign w:val="center"/>
          </w:tcPr>
          <w:p>
            <w:pPr>
              <w:pStyle w:val="TableContents"/>
              <w:bidi w:val="0"/>
              <w:spacing w:before="0" w:after="283"/>
              <w:jc w:val="left"/>
              <w:rPr/>
            </w:pPr>
            <w:r>
              <w:rPr/>
              <w:t>Equity line of credit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Treasury</w:t>
            </w:r>
            <w:bookmarkStart w:id="1310" w:name="xdx_404_eus-gaap--AntidilutiveSecurities"/>
            <w:bookmarkEnd w:id="1310"/>
          </w:p>
        </w:tc>
      </w:tr>
      <w:tr>
        <w:trPr/>
        <w:tc>
          <w:tcPr>
            <w:tcW w:w="3200" w:type="dxa"/>
            <w:tcBorders/>
            <w:shd w:fill="FFFFFF" w:val="clear"/>
            <w:vAlign w:val="center"/>
          </w:tcPr>
          <w:p>
            <w:pPr>
              <w:pStyle w:val="TableContents"/>
              <w:bidi w:val="0"/>
              <w:spacing w:before="0" w:after="283"/>
              <w:jc w:val="left"/>
              <w:rPr/>
            </w:pPr>
            <w:r>
              <w:rPr/>
              <w:t>Underwriters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Treasury</w:t>
            </w:r>
            <w:bookmarkStart w:id="1311" w:name="xdx_40F_eus-gaap--AntidilutiveSecurities"/>
            <w:bookmarkEnd w:id="1311"/>
          </w:p>
        </w:tc>
      </w:tr>
      <w:tr>
        <w:trPr/>
        <w:tc>
          <w:tcPr>
            <w:tcW w:w="320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2,655,608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If-Converted</w:t>
            </w:r>
            <w:bookmarkStart w:id="1312" w:name="xdx_401_eus-gaap--AntidilutiveSecurities"/>
            <w:bookmarkEnd w:id="1312"/>
          </w:p>
        </w:tc>
      </w:tr>
      <w:tr>
        <w:trPr/>
        <w:tc>
          <w:tcPr>
            <w:tcW w:w="3200" w:type="dxa"/>
            <w:tcBorders/>
            <w:shd w:fill="FFFFFF" w:val="clear"/>
            <w:vAlign w:val="center"/>
          </w:tcPr>
          <w:p>
            <w:pPr>
              <w:pStyle w:val="TableContents"/>
              <w:bidi w:val="0"/>
              <w:spacing w:before="0" w:after="283"/>
              <w:jc w:val="left"/>
              <w:rPr/>
            </w:pPr>
            <w:r>
              <w:rPr/>
              <w:t>Convertible notes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1,405,470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Treasury</w:t>
            </w:r>
            <w:bookmarkStart w:id="1313" w:name="xdx_40E_eus-gaap--AntidilutiveSecurities"/>
            <w:bookmarkEnd w:id="1313"/>
          </w:p>
        </w:tc>
      </w:tr>
      <w:tr>
        <w:trPr/>
        <w:tc>
          <w:tcPr>
            <w:tcW w:w="3200"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1,405,470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Treasury</w:t>
            </w:r>
          </w:p>
        </w:tc>
      </w:tr>
    </w:tbl>
    <w:p>
      <w:pPr>
        <w:pStyle w:val="TextBody"/>
        <w:bidi w:val="0"/>
        <w:spacing w:before="0" w:after="0"/>
        <w:ind w:left="0" w:right="0" w:hanging="0"/>
        <w:jc w:val="both"/>
        <w:rPr>
          <w:caps w:val="false"/>
          <w:smallCaps w:val="false"/>
        </w:rPr>
      </w:pPr>
      <w:bookmarkStart w:id="1314" w:name="xdx_8A2_zjJtIxYMxGzd"/>
      <w:bookmarkEnd w:id="13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5" w:name="xdx_808_eus-gaap--StockholdersEquityNote"/>
      <w:bookmarkEnd w:id="1315"/>
      <w:r>
        <w:rPr>
          <w:rFonts w:ascii="Times New Roman;Times;Serif" w:hAnsi="Times New Roman;Times;Serif"/>
          <w:b/>
          <w:i w:val="false"/>
          <w:caps w:val="false"/>
          <w:smallCaps w:val="false"/>
          <w:sz w:val="20"/>
        </w:rPr>
        <w:t xml:space="preserve">NOTE 17 – </w:t>
      </w:r>
      <w:bookmarkStart w:id="1316" w:name="xdx_82D_zWStjC1Owm07"/>
      <w:bookmarkEnd w:id="1316"/>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1317" w:name="xdx_90E_ecustom--NumberOfClassesOfCommon"/>
      <w:bookmarkEnd w:id="1317"/>
      <w:r>
        <w:rPr>
          <w:rFonts w:ascii="Times New Roman;Times;Serif" w:hAnsi="Times New Roman;Times;Serif"/>
          <w:b w:val="false"/>
          <w:i w:val="false"/>
          <w:caps w:val="false"/>
          <w:smallCaps w:val="false"/>
          <w:sz w:val="20"/>
        </w:rPr>
        <w:t xml:space="preserve">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w:t>
      </w:r>
      <w:bookmarkStart w:id="1318" w:name="xdx_901_ecustom--NumberOfVotesEntitledPe"/>
      <w:bookmarkEnd w:id="1318"/>
      <w:r>
        <w:rPr>
          <w:rFonts w:ascii="Times New Roman;Times;Serif" w:hAnsi="Times New Roman;Times;Serif"/>
          <w:b w:val="false"/>
          <w:i w:val="false"/>
          <w:caps w:val="false"/>
          <w:smallCaps w:val="false"/>
          <w:sz w:val="20"/>
        </w:rPr>
        <w:t>one vote. Each share of Class B common stock will be entitled to</w:t>
      </w:r>
      <w:bookmarkStart w:id="1319" w:name="xdx_90C_ecustom--NumberOfVotesEntitledPe"/>
      <w:bookmarkEnd w:id="1319"/>
      <w:r>
        <w:rPr>
          <w:rFonts w:ascii="Times New Roman;Times;Serif" w:hAnsi="Times New Roman;Times;Serif"/>
          <w:b w:val="false"/>
          <w:i w:val="false"/>
          <w:caps w:val="false"/>
          <w:smallCaps w:val="false"/>
          <w:sz w:val="20"/>
        </w:rPr>
        <w:t xml:space="preserve"> ten votes and will be convertible into </w:t>
      </w:r>
      <w:bookmarkStart w:id="1320" w:name="xdx_906_eus-gaap--ConversionOfStockShare"/>
      <w:bookmarkEnd w:id="1320"/>
      <w:r>
        <w:rPr>
          <w:rFonts w:ascii="Times New Roman;Times;Serif" w:hAnsi="Times New Roman;Times;Serif"/>
          <w:b w:val="false"/>
          <w:i w:val="false"/>
          <w:caps w:val="false"/>
          <w:smallCaps w:val="false"/>
          <w:sz w:val="20"/>
        </w:rPr>
        <w:t>one share of Class A common stock automatically upon transfer, subject to certain exceptions. Holders of Class A common stock and Class B common stock will vote together as a single class on all matters unless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IPO, on November 9, 2022, the Company issued to the Underwriters warrants to purchase </w:t>
      </w:r>
      <w:bookmarkStart w:id="1321" w:name="xdx_906_eus-gaap--CommonStockSharesIssue"/>
      <w:bookmarkEnd w:id="1321"/>
      <w:r>
        <w:rPr>
          <w:rFonts w:ascii="Times New Roman;Times;Serif" w:hAnsi="Times New Roman;Times;Serif"/>
          <w:b w:val="false"/>
          <w:i w:val="false"/>
          <w:caps w:val="false"/>
          <w:smallCaps w:val="false"/>
          <w:sz w:val="20"/>
        </w:rPr>
        <w:t xml:space="preserve">120,000 shares of Class A common stock (the “Underwriters Warrants”). The Underwriters Warrants may be exercised at a price per share equal to </w:t>
      </w:r>
      <w:bookmarkStart w:id="1322" w:name="xdx_905_ecustom--ClassOfWarrantOrRightIs"/>
      <w:bookmarkEnd w:id="1322"/>
      <w:r>
        <w:rPr>
          <w:rFonts w:ascii="Times New Roman;Times;Serif" w:hAnsi="Times New Roman;Times;Serif"/>
          <w:b w:val="false"/>
          <w:i w:val="false"/>
          <w:caps w:val="false"/>
          <w:smallCaps w:val="false"/>
          <w:sz w:val="20"/>
        </w:rPr>
        <w:t>125% of the IPO price, or $</w:t>
      </w:r>
      <w:bookmarkStart w:id="1323" w:name="xdx_90B_eus-gaap--ClassOfWarrantOrRightE"/>
      <w:bookmarkEnd w:id="1323"/>
      <w:r>
        <w:rPr>
          <w:rFonts w:ascii="Times New Roman;Times;Serif" w:hAnsi="Times New Roman;Times;Serif"/>
          <w:b w:val="false"/>
          <w:i w:val="false"/>
          <w:caps w:val="false"/>
          <w:smallCaps w:val="false"/>
          <w:sz w:val="20"/>
        </w:rPr>
        <w:t>6.25 per share. The Underwriters Warrants are exercisable, in whole or in part, commencing on November 9, 2022, and expiring on the three-year anniversary thereof. The Underwriters Warrants have not been exercised as of the filing of this Annual Report and expired on November 9, 2025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are legally detachable and separately exercisable from the Class A common stock; therefore, they meet the definition of freestanding and are not considered embedded in the Firm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deficit. As long as the Underwriters Warrants remain classified as equity, they shall not be revalued.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issued warrants in connection with its convertible debt for the purchase of</w:t>
      </w:r>
      <w:bookmarkStart w:id="1324" w:name="xdx_90D_eus-gaap--DebtConversionConverte"/>
      <w:bookmarkEnd w:id="1324"/>
      <w:r>
        <w:rPr>
          <w:rFonts w:ascii="Times New Roman;Times;Serif" w:hAnsi="Times New Roman;Times;Serif"/>
          <w:b w:val="false"/>
          <w:i w:val="false"/>
          <w:caps w:val="false"/>
          <w:smallCaps w:val="false"/>
          <w:sz w:val="20"/>
        </w:rPr>
        <w:t xml:space="preserve"> 714,285 shares (the “Convertible Note Warrants”). The Convertible Note Warrants are accounted for as liabilities and are included in the accrued expenses and other liabilities in the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 warrants allow the Investors to purchase an aggregate of </w:t>
      </w:r>
      <w:bookmarkStart w:id="1325" w:name="xdx_90F_eus-gaap--DebtConversionConverte"/>
      <w:bookmarkEnd w:id="1325"/>
      <w:r>
        <w:rPr>
          <w:rFonts w:ascii="Times New Roman;Times;Serif" w:hAnsi="Times New Roman;Times;Serif"/>
          <w:b w:val="false"/>
          <w:i w:val="false"/>
          <w:caps w:val="false"/>
          <w:smallCaps w:val="false"/>
          <w:sz w:val="20"/>
        </w:rPr>
        <w:t>714,285 shares of the Company’s Class A common stock at an exercise price of $</w:t>
      </w:r>
      <w:bookmarkStart w:id="1326" w:name="xdx_904_eus-gaap--ClassOfWarrantOrRightE"/>
      <w:bookmarkEnd w:id="1326"/>
      <w:r>
        <w:rPr>
          <w:rFonts w:ascii="Times New Roman;Times;Serif" w:hAnsi="Times New Roman;Times;Serif"/>
          <w:b w:val="false"/>
          <w:i w:val="false"/>
          <w:caps w:val="false"/>
          <w:smallCaps w:val="false"/>
          <w:sz w:val="20"/>
        </w:rPr>
        <w:t>1.89. The warrants can be exercised, subject to certain ownership limitations, in whole or in part during the exercise period commencing on November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their adjustment provisions, the warrants are classified as a liability on the consolidated balance sheet. In January 2024 there was a conversion which triggered anti-dilutive features of the convertible note warrants, decreasing the exercise price and increasing the number of outstanding convertible notes warrants to </w:t>
      </w:r>
      <w:bookmarkStart w:id="1327" w:name="xdx_90B_eus-gaap--ClassOfWarrantOrRightO"/>
      <w:bookmarkEnd w:id="1327"/>
      <w:r>
        <w:rPr>
          <w:rFonts w:ascii="Times New Roman;Times;Serif" w:hAnsi="Times New Roman;Times;Serif"/>
          <w:b w:val="false"/>
          <w:i w:val="false"/>
          <w:caps w:val="false"/>
          <w:smallCaps w:val="false"/>
          <w:sz w:val="20"/>
        </w:rPr>
        <w:t>1,405,470. The fair value of the warrants at issuance has been estimated using a Black-Scholes pricing model as of December 31, 2025 and a Monte Carlo pricing model as of December 31, 2024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8" w:name="xdx_8B8_zQkKJ9jWxOA8"/>
      <w:bookmarkStart w:id="1329" w:name="xdx_899_eus-gaap--ScheduleOfStockholders"/>
      <w:bookmarkEnd w:id="1328"/>
      <w:bookmarkEnd w:id="1329"/>
      <w:r>
        <w:rPr>
          <w:rFonts w:ascii="Times New Roman;Times;Serif" w:hAnsi="Times New Roman;Times;Serif"/>
          <w:b w:val="false"/>
          <w:i w:val="false"/>
          <w:caps w:val="false"/>
          <w:smallCaps w:val="false"/>
          <w:sz w:val="20"/>
        </w:rPr>
        <w:t>SCHEDULE OF FAIR VALUE OF WARRANTS </w:t>
      </w:r>
    </w:p>
    <w:tbl>
      <w:tblPr>
        <w:tblW w:w="6668" w:type="dxa"/>
        <w:jc w:val="left"/>
        <w:tblInd w:w="0" w:type="dxa"/>
        <w:tblLayout w:type="fixed"/>
        <w:tblCellMar>
          <w:top w:w="0" w:type="dxa"/>
          <w:left w:w="0" w:type="dxa"/>
          <w:bottom w:w="0" w:type="dxa"/>
          <w:right w:w="0" w:type="dxa"/>
        </w:tblCellMar>
      </w:tblPr>
      <w:tblGrid>
        <w:gridCol w:w="2315"/>
        <w:gridCol w:w="60"/>
        <w:gridCol w:w="457"/>
        <w:gridCol w:w="1437"/>
        <w:gridCol w:w="215"/>
        <w:gridCol w:w="60"/>
        <w:gridCol w:w="457"/>
        <w:gridCol w:w="1437"/>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bookmarkStart w:id="1330" w:name="xdx_98D_eus-gaap--SharePrice_iI_c2025123"/>
            <w:bookmarkEnd w:id="1330"/>
          </w:p>
        </w:tc>
        <w:tc>
          <w:tcPr>
            <w:tcW w:w="1437" w:type="dxa"/>
            <w:tcBorders/>
            <w:shd w:fill="CCEEFF" w:val="clear"/>
            <w:vAlign w:val="center"/>
          </w:tcPr>
          <w:p>
            <w:pPr>
              <w:pStyle w:val="TableContents"/>
              <w:bidi w:val="0"/>
              <w:spacing w:before="0" w:after="283"/>
              <w:jc w:val="right"/>
              <w:rPr/>
            </w:pPr>
            <w:r>
              <w:rPr/>
              <w:t>0.89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bookmarkStart w:id="1331" w:name="xdx_983_eus-gaap--SharePrice_iI_c2024123"/>
            <w:bookmarkEnd w:id="1331"/>
          </w:p>
        </w:tc>
        <w:tc>
          <w:tcPr>
            <w:tcW w:w="1437" w:type="dxa"/>
            <w:tcBorders/>
            <w:shd w:fill="CCEEFF" w:val="clear"/>
            <w:vAlign w:val="center"/>
          </w:tcPr>
          <w:p>
            <w:pPr>
              <w:pStyle w:val="TableContents"/>
              <w:bidi w:val="0"/>
              <w:spacing w:before="0" w:after="283"/>
              <w:jc w:val="right"/>
              <w:rPr/>
            </w:pPr>
            <w:r>
              <w:rPr/>
              <w:t>1.86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w:t>
            </w:r>
            <w:bookmarkStart w:id="1332" w:name="xdx_986_eus-gaap--ShareBasedCompensation"/>
            <w:bookmarkEnd w:id="1332"/>
          </w:p>
        </w:tc>
        <w:tc>
          <w:tcPr>
            <w:tcW w:w="1437" w:type="dxa"/>
            <w:tcBorders/>
            <w:shd w:fill="FFFFFF" w:val="clear"/>
            <w:vAlign w:val="center"/>
          </w:tcPr>
          <w:p>
            <w:pPr>
              <w:pStyle w:val="TableContents"/>
              <w:bidi w:val="0"/>
              <w:spacing w:before="0" w:after="283"/>
              <w:jc w:val="right"/>
              <w:rPr/>
            </w:pPr>
            <w:r>
              <w:rPr/>
              <w:t>0.84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w:t>
            </w:r>
            <w:bookmarkStart w:id="1333" w:name="xdx_98A_eus-gaap--ShareBasedCompensation"/>
            <w:bookmarkEnd w:id="1333"/>
          </w:p>
        </w:tc>
        <w:tc>
          <w:tcPr>
            <w:tcW w:w="1437" w:type="dxa"/>
            <w:tcBorders/>
            <w:shd w:fill="FFFFFF" w:val="clear"/>
            <w:vAlign w:val="center"/>
          </w:tcPr>
          <w:p>
            <w:pPr>
              <w:pStyle w:val="TableContents"/>
              <w:bidi w:val="0"/>
              <w:spacing w:before="0" w:after="283"/>
              <w:jc w:val="right"/>
              <w:rPr/>
            </w:pPr>
            <w:r>
              <w:rPr/>
              <w:t>0.84</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34" w:name="xdx_98F_eus-gaap--SharebasedCompensation"/>
            <w:bookmarkEnd w:id="1334"/>
          </w:p>
        </w:tc>
        <w:tc>
          <w:tcPr>
            <w:tcW w:w="1437" w:type="dxa"/>
            <w:tcBorders/>
            <w:shd w:fill="CCEEFF" w:val="clear"/>
            <w:vAlign w:val="center"/>
          </w:tcPr>
          <w:p>
            <w:pPr>
              <w:pStyle w:val="TableContents"/>
              <w:bidi w:val="0"/>
              <w:spacing w:before="0" w:after="283"/>
              <w:jc w:val="right"/>
              <w:rPr/>
            </w:pPr>
            <w:r>
              <w:rPr/>
              <w:t>2.90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35" w:name="xdx_98E_eus-gaap--SharebasedCompensation"/>
            <w:bookmarkEnd w:id="1335"/>
          </w:p>
        </w:tc>
        <w:tc>
          <w:tcPr>
            <w:tcW w:w="1437" w:type="dxa"/>
            <w:tcBorders/>
            <w:shd w:fill="CCEEFF" w:val="clear"/>
            <w:vAlign w:val="center"/>
          </w:tcPr>
          <w:p>
            <w:pPr>
              <w:pStyle w:val="TableContents"/>
              <w:bidi w:val="0"/>
              <w:spacing w:before="0" w:after="283"/>
              <w:jc w:val="right"/>
              <w:rPr/>
            </w:pPr>
            <w:r>
              <w:rPr/>
              <w:t>3.65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1336" w:name="xdx_98C_eus-gaap--ShareBasedCompensation"/>
            <w:bookmarkEnd w:id="1336"/>
          </w:p>
        </w:tc>
        <w:tc>
          <w:tcPr>
            <w:tcW w:w="1437" w:type="dxa"/>
            <w:tcBorders/>
            <w:shd w:fill="FFFFFF" w:val="clear"/>
            <w:vAlign w:val="center"/>
          </w:tcPr>
          <w:p>
            <w:pPr>
              <w:pStyle w:val="TableContents"/>
              <w:bidi w:val="0"/>
              <w:spacing w:before="0" w:after="283"/>
              <w:jc w:val="right"/>
              <w:rPr/>
            </w:pPr>
            <w:r>
              <w:rPr/>
              <w:t>88.7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1337" w:name="xdx_98D_eus-gaap--ShareBasedCompensation"/>
            <w:bookmarkEnd w:id="1337"/>
          </w:p>
        </w:tc>
        <w:tc>
          <w:tcPr>
            <w:tcW w:w="1437"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38" w:name="xdx_986_eus-gaap--ShareBasedCompensation"/>
            <w:bookmarkEnd w:id="1338"/>
          </w:p>
        </w:tc>
        <w:tc>
          <w:tcPr>
            <w:tcW w:w="1437" w:type="dxa"/>
            <w:tcBorders/>
            <w:shd w:fill="CCEEFF" w:val="clear"/>
            <w:vAlign w:val="center"/>
          </w:tcPr>
          <w:p>
            <w:pPr>
              <w:pStyle w:val="TableContents"/>
              <w:bidi w:val="0"/>
              <w:spacing w:before="0" w:after="283"/>
              <w:jc w:val="right"/>
              <w:rPr/>
            </w:pPr>
            <w:r>
              <w:rPr/>
              <w:t>3.51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39" w:name="xdx_983_eus-gaap--ShareBasedCompensation"/>
            <w:bookmarkEnd w:id="1339"/>
          </w:p>
        </w:tc>
        <w:tc>
          <w:tcPr>
            <w:tcW w:w="1437" w:type="dxa"/>
            <w:tcBorders/>
            <w:shd w:fill="CCEEFF" w:val="clear"/>
            <w:vAlign w:val="center"/>
          </w:tcPr>
          <w:p>
            <w:pPr>
              <w:pStyle w:val="TableContents"/>
              <w:bidi w:val="0"/>
              <w:spacing w:before="0" w:after="283"/>
              <w:jc w:val="right"/>
              <w:rPr/>
            </w:pPr>
            <w:r>
              <w:rPr/>
              <w:t>4.31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40" w:name="xdx_8A5_zEW1GveOTIm1"/>
      <w:bookmarkEnd w:id="13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is the estimate of the expected volatility of the Company’s Class A common stock, based on the Company’s weekly trading history then reduced by</w:t>
      </w:r>
      <w:bookmarkStart w:id="1341" w:name="xdx_900_eus-gaap--ShareBasedCompensation"/>
      <w:bookmarkEnd w:id="1341"/>
      <w:r>
        <w:rPr>
          <w:rFonts w:ascii="Times New Roman;Times;Serif" w:hAnsi="Times New Roman;Times;Serif"/>
          <w:b w:val="false"/>
          <w:i w:val="false"/>
          <w:caps w:val="false"/>
          <w:smallCaps w:val="false"/>
          <w:sz w:val="20"/>
        </w:rPr>
        <w:t xml:space="preserve"> 5% as it is generally accepted that market participants to not pay for the full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each reporting period with the change in fair value being recognized in other income (expense). The measured fair value may be uncertain due to the use of unobservable inputs. At December 31, 2025 and 2024, the fair value of the warrant liability was $</w:t>
      </w:r>
      <w:bookmarkStart w:id="1342" w:name="xdx_904_eus-gaap--DerivativeFairValueOfD"/>
      <w:bookmarkEnd w:id="1342"/>
      <w:r>
        <w:rPr>
          <w:rFonts w:ascii="Times New Roman;Times;Serif" w:hAnsi="Times New Roman;Times;Serif"/>
          <w:b w:val="false"/>
          <w:i w:val="false"/>
          <w:caps w:val="false"/>
          <w:smallCaps w:val="false"/>
          <w:sz w:val="20"/>
        </w:rPr>
        <w:t>632,876 and $</w:t>
      </w:r>
      <w:bookmarkStart w:id="1343" w:name="xdx_909_eus-gaap--DerivativeFairValueOfD"/>
      <w:bookmarkEnd w:id="1343"/>
      <w:r>
        <w:rPr>
          <w:rFonts w:ascii="Times New Roman;Times;Serif" w:hAnsi="Times New Roman;Times;Serif"/>
          <w:b w:val="false"/>
          <w:i w:val="false"/>
          <w:caps w:val="false"/>
          <w:smallCaps w:val="false"/>
          <w:sz w:val="20"/>
        </w:rPr>
        <w:t>1,448,109, respectively, and was included in the accrued expenses and other liabilities in the Company’s consolidated balance sheets. The changes in fair value during the years ended December 31, 2025 and 2024, amounted to a loss of $</w:t>
      </w:r>
      <w:bookmarkStart w:id="1344" w:name="xdx_901_eus-gaap--OtherIncome_c20250101_"/>
      <w:bookmarkEnd w:id="1344"/>
      <w:r>
        <w:rPr>
          <w:rFonts w:ascii="Times New Roman;Times;Serif" w:hAnsi="Times New Roman;Times;Serif"/>
          <w:b w:val="false"/>
          <w:i w:val="false"/>
          <w:caps w:val="false"/>
          <w:smallCaps w:val="false"/>
          <w:sz w:val="20"/>
        </w:rPr>
        <w:t>620,206 and $</w:t>
      </w:r>
      <w:bookmarkStart w:id="1345" w:name="xdx_90A_eus-gaap--OtherIncome_c20240101_"/>
      <w:bookmarkEnd w:id="1345"/>
      <w:r>
        <w:rPr>
          <w:rFonts w:ascii="Times New Roman;Times;Serif" w:hAnsi="Times New Roman;Times;Serif"/>
          <w:b w:val="false"/>
          <w:i w:val="false"/>
          <w:caps w:val="false"/>
          <w:smallCaps w:val="false"/>
          <w:sz w:val="20"/>
        </w:rPr>
        <w:t>1,006,294, respectively, included in other income (expense) in our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Investors exercised </w:t>
      </w:r>
      <w:bookmarkStart w:id="1346" w:name="xdx_907_eus-gaap--ClassOfWarrantOrRightN"/>
      <w:bookmarkEnd w:id="1346"/>
      <w:r>
        <w:rPr>
          <w:rFonts w:ascii="Times New Roman;Times;Serif" w:hAnsi="Times New Roman;Times;Serif"/>
          <w:b w:val="false"/>
          <w:i w:val="false"/>
          <w:caps w:val="false"/>
          <w:smallCaps w:val="false"/>
          <w:sz w:val="20"/>
        </w:rPr>
        <w:t>189,285 warrants for which the Company received $</w:t>
      </w:r>
      <w:bookmarkStart w:id="1347" w:name="xdx_902_eus-gaap--ProceedsFromIssuanceOf"/>
      <w:bookmarkEnd w:id="1347"/>
      <w:r>
        <w:rPr>
          <w:rFonts w:ascii="Times New Roman;Times;Serif" w:hAnsi="Times New Roman;Times;Serif"/>
          <w:b w:val="false"/>
          <w:i w:val="false"/>
          <w:caps w:val="false"/>
          <w:smallCaps w:val="false"/>
          <w:sz w:val="20"/>
        </w:rPr>
        <w:t>159,000 in proceeds and recorded a loss of $</w:t>
      </w:r>
      <w:bookmarkStart w:id="1348" w:name="xdx_902_eus-gaap--ProceedsFromWarrantExe"/>
      <w:bookmarkEnd w:id="1348"/>
      <w:r>
        <w:rPr>
          <w:rFonts w:ascii="Times New Roman;Times;Serif" w:hAnsi="Times New Roman;Times;Serif"/>
          <w:b w:val="false"/>
          <w:i w:val="false"/>
          <w:caps w:val="false"/>
          <w:smallCaps w:val="false"/>
          <w:sz w:val="20"/>
        </w:rPr>
        <w:t xml:space="preserve">128,085 upon revaluation of exercised warrants. During the year ended December 31, 2024, the Investors exercised </w:t>
      </w:r>
      <w:bookmarkStart w:id="1349" w:name="xdx_90D_eus-gaap--ClassOfWarrantOrRightN"/>
      <w:bookmarkEnd w:id="1349"/>
      <w:r>
        <w:rPr>
          <w:rFonts w:ascii="Times New Roman;Times;Serif" w:hAnsi="Times New Roman;Times;Serif"/>
          <w:b w:val="false"/>
          <w:i w:val="false"/>
          <w:caps w:val="false"/>
          <w:smallCaps w:val="false"/>
          <w:sz w:val="20"/>
        </w:rPr>
        <w:t>202,379 warrants, for which the Company received $</w:t>
      </w:r>
      <w:bookmarkStart w:id="1350" w:name="xdx_904_eus-gaap--ProceedsFromIssuanceOf"/>
      <w:bookmarkEnd w:id="1350"/>
      <w:r>
        <w:rPr>
          <w:rFonts w:ascii="Times New Roman;Times;Serif" w:hAnsi="Times New Roman;Times;Serif"/>
          <w:b w:val="false"/>
          <w:i w:val="false"/>
          <w:caps w:val="false"/>
          <w:smallCaps w:val="false"/>
          <w:sz w:val="20"/>
        </w:rPr>
        <w:t>170,000 in proceeds and recorded a loss of $</w:t>
      </w:r>
      <w:bookmarkStart w:id="1351" w:name="xdx_90E_eus-gaap--ProceedsFromWarrantExe"/>
      <w:bookmarkEnd w:id="1351"/>
      <w:r>
        <w:rPr>
          <w:rFonts w:ascii="Times New Roman;Times;Serif" w:hAnsi="Times New Roman;Times;Serif"/>
          <w:b w:val="false"/>
          <w:i w:val="false"/>
          <w:caps w:val="false"/>
          <w:smallCaps w:val="false"/>
          <w:sz w:val="20"/>
        </w:rPr>
        <w:t>115,800 upon revaluation of the exercised warrants. The loss is included in other income (expense) in our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2" w:name="xdx_89D_ecustom--ScheduleOfChangesInFair"/>
      <w:bookmarkEnd w:id="1352"/>
      <w:r>
        <w:rPr>
          <w:rFonts w:ascii="Times New Roman;Times;Serif" w:hAnsi="Times New Roman;Times;Serif"/>
          <w:b w:val="false"/>
          <w:i w:val="false"/>
          <w:caps w:val="false"/>
          <w:smallCaps w:val="false"/>
          <w:sz w:val="20"/>
        </w:rPr>
        <w:t>The Convertible Notes Warrants were initially measured at fair value and are being re-measured at fair value at each subsequent reporting date. The change in fair value during the years ended December 31, 2025 and 2024,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3" w:name="xdx_8B9_zhudpQ2oXtzf"/>
      <w:bookmarkEnd w:id="1353"/>
      <w:r>
        <w:rPr>
          <w:rFonts w:ascii="Times New Roman;Times;Serif" w:hAnsi="Times New Roman;Times;Serif"/>
          <w:b w:val="false"/>
          <w:i w:val="false"/>
          <w:caps w:val="false"/>
          <w:smallCaps w:val="false"/>
          <w:sz w:val="20"/>
        </w:rPr>
        <w:t>SCHEDULE OF CHANGE IN FAIR VALUE OF CONVERTIBLE NOTES WARRANTS </w:t>
      </w:r>
    </w:p>
    <w:tbl>
      <w:tblPr>
        <w:tblW w:w="5865" w:type="dxa"/>
        <w:jc w:val="left"/>
        <w:tblInd w:w="0" w:type="dxa"/>
        <w:tblLayout w:type="fixed"/>
        <w:tblCellMar>
          <w:top w:w="0" w:type="dxa"/>
          <w:left w:w="0" w:type="dxa"/>
          <w:bottom w:w="0" w:type="dxa"/>
          <w:right w:w="0" w:type="dxa"/>
        </w:tblCellMar>
      </w:tblPr>
      <w:tblGrid>
        <w:gridCol w:w="3380"/>
        <w:gridCol w:w="60"/>
        <w:gridCol w:w="140"/>
        <w:gridCol w:w="980"/>
        <w:gridCol w:w="95"/>
        <w:gridCol w:w="60"/>
        <w:gridCol w:w="60"/>
        <w:gridCol w:w="98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4" w:name="xdx_4B1_zdSxVfFhAN0f"/>
            <w:bookmarkEnd w:id="135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5" w:name="xdx_4B5_us-gaap--StatementEquityComponen"/>
            <w:bookmarkEnd w:id="1355"/>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56" w:name="xdx_98E_eus-gaap--FairValueMeasurementWi"/>
            <w:bookmarkEnd w:id="1356"/>
          </w:p>
        </w:tc>
        <w:tc>
          <w:tcPr>
            <w:tcW w:w="980" w:type="dxa"/>
            <w:tcBorders/>
            <w:shd w:fill="CCEEFF" w:val="clear"/>
            <w:vAlign w:val="center"/>
          </w:tcPr>
          <w:p>
            <w:pPr>
              <w:pStyle w:val="TableContents"/>
              <w:bidi w:val="0"/>
              <w:spacing w:before="0" w:after="283"/>
              <w:jc w:val="right"/>
              <w:rPr/>
            </w:pPr>
            <w:r>
              <w:rPr/>
              <w:t>1,448,109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7" w:name="xdx_98A_ecustom--FairValueMeasurementWit"/>
            <w:bookmarkEnd w:id="1357"/>
          </w:p>
        </w:tc>
        <w:tc>
          <w:tcPr>
            <w:tcW w:w="980" w:type="dxa"/>
            <w:tcBorders/>
            <w:shd w:fill="CCEEFF" w:val="clear"/>
            <w:vAlign w:val="center"/>
          </w:tcPr>
          <w:p>
            <w:pPr>
              <w:pStyle w:val="TableContents"/>
              <w:bidi w:val="0"/>
              <w:spacing w:before="0" w:after="283"/>
              <w:jc w:val="right"/>
              <w:rPr/>
            </w:pPr>
            <w:r>
              <w:rPr/>
              <w:t>1,405,470</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bookmarkStart w:id="1358" w:name="xdx_901_ecustom--FairValueRecurringBasis"/>
            <w:bookmarkEnd w:id="1358"/>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59" w:name="xdx_983_eus-gaap--FairValueMeasurementWi"/>
            <w:bookmarkEnd w:id="1359"/>
          </w:p>
        </w:tc>
        <w:tc>
          <w:tcPr>
            <w:tcW w:w="980" w:type="dxa"/>
            <w:tcBorders/>
            <w:shd w:fill="FFFFFF" w:val="clear"/>
            <w:vAlign w:val="center"/>
          </w:tcPr>
          <w:p>
            <w:pPr>
              <w:pStyle w:val="TableContents"/>
              <w:bidi w:val="0"/>
              <w:spacing w:before="0" w:after="283"/>
              <w:jc w:val="right"/>
              <w:rPr/>
            </w:pPr>
            <w:r>
              <w:rPr/>
              <w:t>(492,120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60" w:name="xdx_989_ecustom--FairValueMeasurementWit"/>
            <w:bookmarkEnd w:id="1360"/>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61" w:name="xdx_987_ecustom--FairValueMeasurementWit"/>
            <w:bookmarkEnd w:id="136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(323,113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62" w:name="xdx_985_ecustom--FairValueMeasurementWit"/>
            <w:bookmarkEnd w:id="136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(189,285</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b/>
              </w:rPr>
            </w:pPr>
            <w:r>
              <w:rPr>
                <w:b/>
              </w:rPr>
              <w:t>Fair value at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363" w:name="xdx_98A_eus-gaap--FairValueMeasurementWi"/>
            <w:bookmarkEnd w:id="136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632,876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64" w:name="xdx_984_ecustom--FairValueMeasurementWit"/>
            <w:bookmarkEnd w:id="136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1,216,185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3380"/>
        <w:gridCol w:w="60"/>
        <w:gridCol w:w="140"/>
        <w:gridCol w:w="980"/>
        <w:gridCol w:w="95"/>
        <w:gridCol w:w="60"/>
        <w:gridCol w:w="60"/>
        <w:gridCol w:w="98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5" w:name="xdx_4B1_ztcWSw1woLak"/>
            <w:bookmarkEnd w:id="136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6" w:name="xdx_4B5_us-gaap--StatementEquityComponen"/>
            <w:bookmarkEnd w:id="136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367" w:name="xdx_983_eus-gaap--FairValueMeasurementWi"/>
            <w:bookmarkEnd w:id="1367"/>
          </w:p>
        </w:tc>
        <w:tc>
          <w:tcPr>
            <w:tcW w:w="980" w:type="dxa"/>
            <w:tcBorders/>
            <w:shd w:fill="CCEEFF" w:val="clear"/>
            <w:vAlign w:val="center"/>
          </w:tcPr>
          <w:p>
            <w:pPr>
              <w:pStyle w:val="TableContents"/>
              <w:bidi w:val="0"/>
              <w:spacing w:before="0" w:after="283"/>
              <w:jc w:val="right"/>
              <w:rPr/>
            </w:pPr>
            <w:r>
              <w:rPr/>
              <w:t>480,281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8" w:name="xdx_986_ecustom--FairValueMeasurementWit"/>
            <w:bookmarkEnd w:id="1368"/>
          </w:p>
        </w:tc>
        <w:tc>
          <w:tcPr>
            <w:tcW w:w="980" w:type="dxa"/>
            <w:tcBorders/>
            <w:shd w:fill="CCEEFF" w:val="clear"/>
            <w:vAlign w:val="center"/>
          </w:tcPr>
          <w:p>
            <w:pPr>
              <w:pStyle w:val="TableContents"/>
              <w:bidi w:val="0"/>
              <w:spacing w:before="0" w:after="283"/>
              <w:jc w:val="right"/>
              <w:rPr/>
            </w:pPr>
            <w:r>
              <w:rPr/>
              <w:t>714,285</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bookmarkStart w:id="1369" w:name="xdx_90D_ecustom--FairValueRecurringBasis"/>
            <w:bookmarkEnd w:id="1369"/>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0" w:name="xdx_984_eus-gaap--FairValueMeasurementWi"/>
            <w:bookmarkEnd w:id="1370"/>
          </w:p>
        </w:tc>
        <w:tc>
          <w:tcPr>
            <w:tcW w:w="980" w:type="dxa"/>
            <w:tcBorders/>
            <w:shd w:fill="FFFFFF" w:val="clear"/>
            <w:vAlign w:val="center"/>
          </w:tcPr>
          <w:p>
            <w:pPr>
              <w:pStyle w:val="TableContents"/>
              <w:bidi w:val="0"/>
              <w:spacing w:before="0" w:after="283"/>
              <w:jc w:val="right"/>
              <w:rPr/>
            </w:pPr>
            <w:r>
              <w:rPr/>
              <w:t>1,122,094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71" w:name="xdx_988_ecustom--FairValueMeasurementWit"/>
            <w:bookmarkEnd w:id="1371"/>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Anti-dilution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72" w:name="xdx_983_ecustom--FairValueMeasurementWit"/>
            <w:bookmarkEnd w:id="1372"/>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3" w:name="xdx_986_ecustom--FairValueMeasurementWit"/>
            <w:bookmarkEnd w:id="1373"/>
          </w:p>
        </w:tc>
        <w:tc>
          <w:tcPr>
            <w:tcW w:w="980" w:type="dxa"/>
            <w:tcBorders/>
            <w:shd w:fill="CCEEFF" w:val="clear"/>
            <w:vAlign w:val="center"/>
          </w:tcPr>
          <w:p>
            <w:pPr>
              <w:pStyle w:val="TableContents"/>
              <w:bidi w:val="0"/>
              <w:spacing w:before="0" w:after="283"/>
              <w:jc w:val="right"/>
              <w:rPr/>
            </w:pPr>
            <w:r>
              <w:rPr/>
              <w:t>893,563</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74" w:name="xdx_98E_ecustom--FairValueMeasurementWit"/>
            <w:bookmarkEnd w:id="137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(154,266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75" w:name="xdx_988_ecustom--FairValueMeasurementWit"/>
            <w:bookmarkEnd w:id="137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(202,378</w:t>
            </w:r>
          </w:p>
        </w:tc>
        <w:tc>
          <w:tcPr>
            <w:tcW w:w="110"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76" w:name="xdx_98A_eus-gaap--FairValueMeasurementWi"/>
            <w:bookmarkEnd w:id="137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1,448,109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77" w:name="xdx_98E_ecustom--FairValueMeasurementWit"/>
            <w:bookmarkEnd w:id="137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1,405,470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78" w:name="xdx_8A7_z82H1VkyXKKa"/>
      <w:bookmarkEnd w:id="13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common stock purchase agreement (the “Equity Line Purchase Agreement”) and a registration rights agreement (the “Registration Rights Agreement”) with an investor, pursuant to which the investor has committed to purchase up to $</w:t>
      </w:r>
      <w:bookmarkStart w:id="1379" w:name="xdx_90E_eus-gaap--StockIssuedDuringPerio"/>
      <w:bookmarkEnd w:id="1379"/>
      <w:r>
        <w:rPr>
          <w:rFonts w:ascii="Times New Roman;Times;Serif" w:hAnsi="Times New Roman;Times;Serif"/>
          <w:b w:val="false"/>
          <w:i w:val="false"/>
          <w:caps w:val="false"/>
          <w:smallCaps w:val="false"/>
          <w:sz w:val="20"/>
        </w:rPr>
        <w:t xml:space="preserve">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w:t>
      </w:r>
      <w:bookmarkStart w:id="1380" w:name="xdx_90A_eus-gaap--EquityMethodInvestment"/>
      <w:bookmarkEnd w:id="1380"/>
      <w:r>
        <w:rPr>
          <w:rFonts w:ascii="Times New Roman;Times;Serif" w:hAnsi="Times New Roman;Times;Serif"/>
          <w:b w:val="false"/>
          <w:i w:val="false"/>
          <w:caps w:val="false"/>
          <w:smallCaps w:val="false"/>
          <w:sz w:val="20"/>
        </w:rPr>
        <w:t>9.99% of the Company’s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w:t>
      </w:r>
      <w:bookmarkStart w:id="1381" w:name="xdx_90C_eus-gaap--StockIssuedDuringPerio"/>
      <w:bookmarkEnd w:id="1381"/>
      <w:r>
        <w:rPr>
          <w:rFonts w:ascii="Times New Roman;Times;Serif" w:hAnsi="Times New Roman;Times;Serif"/>
          <w:b w:val="false"/>
          <w:i w:val="false"/>
          <w:caps w:val="false"/>
          <w:smallCaps w:val="false"/>
          <w:sz w:val="20"/>
        </w:rPr>
        <w:t>5,000,000, provided that a registration statement covering the resale of shares of Class A common stock that have been and may be issued under the Equity Line Purchase Agreement is declared effective by the SEC. As of December 31, 2025, the Company has not sold any Class A common stock under the Equity Line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covering the offer and sale of up </w:t>
      </w:r>
      <w:bookmarkStart w:id="1382" w:name="xdx_900_eus-gaap--SaleOfStockNumberOfSha"/>
      <w:bookmarkEnd w:id="1382"/>
      <w:r>
        <w:rPr>
          <w:rFonts w:ascii="Times New Roman;Times;Serif" w:hAnsi="Times New Roman;Times;Serif"/>
          <w:b w:val="false"/>
          <w:i w:val="false"/>
          <w:caps w:val="false"/>
          <w:smallCaps w:val="false"/>
          <w:sz w:val="20"/>
        </w:rPr>
        <w:t>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signing of the Equity Line Purchase Agreement, the Company issued the equity line warrant to purchase </w:t>
      </w:r>
      <w:bookmarkStart w:id="1383" w:name="xdx_903_eus-gaap--ClassOfWarrantOrRightO"/>
      <w:bookmarkEnd w:id="1383"/>
      <w:r>
        <w:rPr>
          <w:rFonts w:ascii="Times New Roman;Times;Serif" w:hAnsi="Times New Roman;Times;Serif"/>
          <w:b w:val="false"/>
          <w:i w:val="false"/>
          <w:caps w:val="false"/>
          <w:smallCaps w:val="false"/>
          <w:sz w:val="20"/>
        </w:rPr>
        <w:t>367,647 shares of its Class A common stock to the investor as a commitment fee. The deferred offering costs associated with the equity line warrant were written off during the year ended December 31, 2025 upon the expiration of the Equity Line Purchase Agreement, and accordingly are no longer reflected in other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24, 2023, the Company issued a warrant to an investor (the “Equity Line Warrant”) for the purchase of </w:t>
      </w:r>
      <w:bookmarkStart w:id="1384" w:name="xdx_90B_eus-gaap--StockIssuedDuringPerio"/>
      <w:bookmarkEnd w:id="1384"/>
      <w:r>
        <w:rPr>
          <w:rFonts w:ascii="Times New Roman;Times;Serif" w:hAnsi="Times New Roman;Times;Serif"/>
          <w:b w:val="false"/>
          <w:i w:val="false"/>
          <w:caps w:val="false"/>
          <w:smallCaps w:val="false"/>
          <w:sz w:val="20"/>
        </w:rPr>
        <w:t>367,647 shares of Class A common stock in consideration of the investor’s commitment to purchase Class A common stock. The fair value of the Equity Line Warrant is recorded as a warrant liability and is included in the accrued expenses and other liabilities in the Company’s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warrants allow them to purchase the </w:t>
      </w:r>
      <w:bookmarkStart w:id="1385" w:name="xdx_903_eus-gaap--StockIssuedDuringPerio"/>
      <w:bookmarkEnd w:id="1385"/>
      <w:r>
        <w:rPr>
          <w:rFonts w:ascii="Times New Roman;Times;Serif" w:hAnsi="Times New Roman;Times;Serif"/>
          <w:b w:val="false"/>
          <w:i w:val="false"/>
          <w:caps w:val="false"/>
          <w:smallCaps w:val="false"/>
          <w:sz w:val="20"/>
        </w:rPr>
        <w:t>367,647 shares of the Company’s Class A common stock for an exercise price of $</w:t>
      </w:r>
      <w:bookmarkStart w:id="1386" w:name="xdx_904_eus-gaap--ClassOfWarrantOrRightE"/>
      <w:bookmarkEnd w:id="1386"/>
      <w:r>
        <w:rPr>
          <w:rFonts w:ascii="Times New Roman;Times;Serif" w:hAnsi="Times New Roman;Times;Serif"/>
          <w:b w:val="false"/>
          <w:i w:val="false"/>
          <w:caps w:val="false"/>
          <w:smallCaps w:val="false"/>
          <w:sz w:val="20"/>
        </w:rPr>
        <w:t>1.50. The warrants can be exercised, subject to certain ownership limitations, in whole or in part during the exercise period commencing on August 24, 2023 and ending on the date that is five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adjustment provision, the warrants are classified as a liability on the consolidated balance sheet. The fair value of the warrants has been estimated using a Black-Scholes pricing model as of December 31, 2025 and a Monte Carlo pricing model as of December 31, 2024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7" w:name="xdx_8B7_zPHOx6YVwYze"/>
      <w:bookmarkStart w:id="1388" w:name="xdx_89B_eus-gaap--ScheduleOfStockholders"/>
      <w:bookmarkEnd w:id="1387"/>
      <w:bookmarkEnd w:id="1388"/>
      <w:r>
        <w:rPr>
          <w:rFonts w:ascii="Times New Roman;Times;Serif" w:hAnsi="Times New Roman;Times;Serif"/>
          <w:b w:val="false"/>
          <w:i w:val="false"/>
          <w:caps w:val="false"/>
          <w:smallCaps w:val="false"/>
          <w:sz w:val="20"/>
        </w:rPr>
        <w:t>SCHEDULE OF FAIR VALUE OF WARRANTS </w:t>
      </w:r>
    </w:p>
    <w:tbl>
      <w:tblPr>
        <w:tblW w:w="6668" w:type="dxa"/>
        <w:jc w:val="left"/>
        <w:tblInd w:w="0" w:type="dxa"/>
        <w:tblLayout w:type="fixed"/>
        <w:tblCellMar>
          <w:top w:w="0" w:type="dxa"/>
          <w:left w:w="0" w:type="dxa"/>
          <w:bottom w:w="0" w:type="dxa"/>
          <w:right w:w="0" w:type="dxa"/>
        </w:tblCellMar>
      </w:tblPr>
      <w:tblGrid>
        <w:gridCol w:w="2315"/>
        <w:gridCol w:w="60"/>
        <w:gridCol w:w="457"/>
        <w:gridCol w:w="1437"/>
        <w:gridCol w:w="215"/>
        <w:gridCol w:w="60"/>
        <w:gridCol w:w="457"/>
        <w:gridCol w:w="1437"/>
        <w:gridCol w:w="23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bookmarkStart w:id="1389" w:name="xdx_987_eus-gaap--SharePrice_iI_c2025123"/>
            <w:bookmarkEnd w:id="1389"/>
          </w:p>
        </w:tc>
        <w:tc>
          <w:tcPr>
            <w:tcW w:w="1437" w:type="dxa"/>
            <w:tcBorders/>
            <w:shd w:fill="CCEEFF" w:val="clear"/>
            <w:vAlign w:val="center"/>
          </w:tcPr>
          <w:p>
            <w:pPr>
              <w:pStyle w:val="TableContents"/>
              <w:bidi w:val="0"/>
              <w:spacing w:before="0" w:after="283"/>
              <w:jc w:val="right"/>
              <w:rPr/>
            </w:pPr>
            <w:r>
              <w:rPr/>
              <w:t>0.89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bookmarkStart w:id="1390" w:name="xdx_983_eus-gaap--SharePrice_iI_c2024123"/>
            <w:bookmarkEnd w:id="1390"/>
          </w:p>
        </w:tc>
        <w:tc>
          <w:tcPr>
            <w:tcW w:w="1437" w:type="dxa"/>
            <w:tcBorders/>
            <w:shd w:fill="CCEEFF" w:val="clear"/>
            <w:vAlign w:val="center"/>
          </w:tcPr>
          <w:p>
            <w:pPr>
              <w:pStyle w:val="TableContents"/>
              <w:bidi w:val="0"/>
              <w:spacing w:before="0" w:after="283"/>
              <w:jc w:val="right"/>
              <w:rPr/>
            </w:pPr>
            <w:r>
              <w:rPr/>
              <w:t>1.86</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w:t>
            </w:r>
            <w:bookmarkStart w:id="1391" w:name="xdx_982_eus-gaap--ShareBasedCompensation"/>
            <w:bookmarkEnd w:id="1391"/>
          </w:p>
        </w:tc>
        <w:tc>
          <w:tcPr>
            <w:tcW w:w="1437" w:type="dxa"/>
            <w:tcBorders/>
            <w:shd w:fill="FFFFFF" w:val="clear"/>
            <w:vAlign w:val="center"/>
          </w:tcPr>
          <w:p>
            <w:pPr>
              <w:pStyle w:val="TableContents"/>
              <w:bidi w:val="0"/>
              <w:spacing w:before="0" w:after="283"/>
              <w:jc w:val="right"/>
              <w:rPr/>
            </w:pPr>
            <w:r>
              <w:rPr/>
              <w:t>1.50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w:t>
            </w:r>
            <w:bookmarkStart w:id="1392" w:name="xdx_985_eus-gaap--ShareBasedCompensation"/>
            <w:bookmarkEnd w:id="1392"/>
          </w:p>
        </w:tc>
        <w:tc>
          <w:tcPr>
            <w:tcW w:w="1437" w:type="dxa"/>
            <w:tcBorders/>
            <w:shd w:fill="FFFFFF" w:val="clear"/>
            <w:vAlign w:val="center"/>
          </w:tcPr>
          <w:p>
            <w:pPr>
              <w:pStyle w:val="TableContents"/>
              <w:bidi w:val="0"/>
              <w:spacing w:before="0" w:after="283"/>
              <w:jc w:val="right"/>
              <w:rPr/>
            </w:pPr>
            <w:r>
              <w:rPr/>
              <w:t>1.50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Contractual term (years)</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93" w:name="xdx_986_eus-gaap--SharebasedCompensation"/>
            <w:bookmarkEnd w:id="1393"/>
          </w:p>
        </w:tc>
        <w:tc>
          <w:tcPr>
            <w:tcW w:w="1437" w:type="dxa"/>
            <w:tcBorders/>
            <w:shd w:fill="CCEEFF" w:val="clear"/>
            <w:vAlign w:val="center"/>
          </w:tcPr>
          <w:p>
            <w:pPr>
              <w:pStyle w:val="TableContents"/>
              <w:bidi w:val="0"/>
              <w:spacing w:before="0" w:after="283"/>
              <w:jc w:val="right"/>
              <w:rPr/>
            </w:pPr>
            <w:r>
              <w:rPr/>
              <w:t>2.65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94" w:name="xdx_981_eus-gaap--SharebasedCompensation"/>
            <w:bookmarkEnd w:id="1394"/>
          </w:p>
        </w:tc>
        <w:tc>
          <w:tcPr>
            <w:tcW w:w="1437" w:type="dxa"/>
            <w:tcBorders/>
            <w:shd w:fill="CCEEFF" w:val="clear"/>
            <w:vAlign w:val="center"/>
          </w:tcPr>
          <w:p>
            <w:pPr>
              <w:pStyle w:val="TableContents"/>
              <w:bidi w:val="0"/>
              <w:spacing w:before="0" w:after="283"/>
              <w:jc w:val="right"/>
              <w:rPr/>
            </w:pPr>
            <w:r>
              <w:rPr/>
              <w:t>3.65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1395" w:name="xdx_989_eus-gaap--ShareBasedCompensation"/>
            <w:bookmarkEnd w:id="1395"/>
          </w:p>
        </w:tc>
        <w:tc>
          <w:tcPr>
            <w:tcW w:w="1437" w:type="dxa"/>
            <w:tcBorders/>
            <w:shd w:fill="FFFFFF" w:val="clear"/>
            <w:vAlign w:val="center"/>
          </w:tcPr>
          <w:p>
            <w:pPr>
              <w:pStyle w:val="TableContents"/>
              <w:bidi w:val="0"/>
              <w:spacing w:before="0" w:after="283"/>
              <w:jc w:val="right"/>
              <w:rPr/>
            </w:pPr>
            <w:r>
              <w:rPr/>
              <w:t>98.4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bookmarkStart w:id="1396" w:name="xdx_98C_eus-gaap--ShareBasedCompensation"/>
            <w:bookmarkEnd w:id="1396"/>
          </w:p>
        </w:tc>
        <w:tc>
          <w:tcPr>
            <w:tcW w:w="1437" w:type="dxa"/>
            <w:tcBorders/>
            <w:shd w:fill="FFFFFF" w:val="clear"/>
            <w:vAlign w:val="center"/>
          </w:tcPr>
          <w:p>
            <w:pPr>
              <w:pStyle w:val="TableContents"/>
              <w:bidi w:val="0"/>
              <w:spacing w:before="0" w:after="283"/>
              <w:jc w:val="right"/>
              <w:rPr/>
            </w:pPr>
            <w:r>
              <w:rPr/>
              <w:t>60.0</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97" w:name="xdx_98C_eus-gaap--ShareBasedCompensation"/>
            <w:bookmarkEnd w:id="1397"/>
          </w:p>
        </w:tc>
        <w:tc>
          <w:tcPr>
            <w:tcW w:w="1437" w:type="dxa"/>
            <w:tcBorders/>
            <w:shd w:fill="CCEEFF" w:val="clear"/>
            <w:vAlign w:val="center"/>
          </w:tcPr>
          <w:p>
            <w:pPr>
              <w:pStyle w:val="TableContents"/>
              <w:bidi w:val="0"/>
              <w:spacing w:before="0" w:after="283"/>
              <w:jc w:val="right"/>
              <w:rPr/>
            </w:pPr>
            <w:r>
              <w:rPr/>
              <w:t>3.49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bookmarkStart w:id="1398" w:name="xdx_98B_eus-gaap--ShareBasedCompensation"/>
            <w:bookmarkEnd w:id="1398"/>
          </w:p>
        </w:tc>
        <w:tc>
          <w:tcPr>
            <w:tcW w:w="1437" w:type="dxa"/>
            <w:tcBorders/>
            <w:shd w:fill="CCEEFF" w:val="clear"/>
            <w:vAlign w:val="center"/>
          </w:tcPr>
          <w:p>
            <w:pPr>
              <w:pStyle w:val="TableContents"/>
              <w:bidi w:val="0"/>
              <w:spacing w:before="0" w:after="283"/>
              <w:jc w:val="right"/>
              <w:rPr/>
            </w:pPr>
            <w:r>
              <w:rPr/>
              <w:t>4.31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99" w:name="xdx_8A7_zLvxZDV2GjL1"/>
      <w:bookmarkEnd w:id="13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is the estimate of the expected volatility of the Company’s Class A common stock, based on the Company’s weekly trading history then reduced by </w:t>
      </w:r>
      <w:bookmarkStart w:id="1400" w:name="xdx_900_eus-gaap--ShareBasedCompensation"/>
      <w:bookmarkEnd w:id="1400"/>
      <w:r>
        <w:rPr>
          <w:rFonts w:ascii="Times New Roman;Times;Serif" w:hAnsi="Times New Roman;Times;Serif"/>
          <w:b w:val="false"/>
          <w:i w:val="false"/>
          <w:caps w:val="false"/>
          <w:smallCaps w:val="false"/>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which uses level 3 inputs, is to be measured at fair value at each reporting period and with the change in fair value being recognized in earnings. The measured fair value may be uncertain due to the use of unobservable inputs. At December 31, 2025 and 2024, the fair value of the warrant liability was $</w:t>
      </w:r>
      <w:bookmarkStart w:id="1401" w:name="xdx_904_eus-gaap--DerivativeFairValueOfD"/>
      <w:bookmarkEnd w:id="1401"/>
      <w:r>
        <w:rPr>
          <w:rFonts w:ascii="Times New Roman;Times;Serif" w:hAnsi="Times New Roman;Times;Serif"/>
          <w:b w:val="false"/>
          <w:i w:val="false"/>
          <w:caps w:val="false"/>
          <w:smallCaps w:val="false"/>
          <w:sz w:val="20"/>
        </w:rPr>
        <w:t>143,675 and $</w:t>
      </w:r>
      <w:bookmarkStart w:id="1402" w:name="xdx_904_eus-gaap--DerivativeFairValueOfD"/>
      <w:bookmarkEnd w:id="1402"/>
      <w:r>
        <w:rPr>
          <w:rFonts w:ascii="Times New Roman;Times;Serif" w:hAnsi="Times New Roman;Times;Serif"/>
          <w:b w:val="false"/>
          <w:i w:val="false"/>
          <w:caps w:val="false"/>
          <w:smallCaps w:val="false"/>
          <w:sz w:val="20"/>
        </w:rPr>
        <w:t xml:space="preserve">292,004, respectively, and included in the accrued expenses and other liabilities in the Company’s consolidated balance sheets. The changes in fair value during the years ended December 31, 2025 and 2024, amounted to a gain of </w:t>
      </w:r>
      <w:bookmarkStart w:id="1403" w:name="xdx_90B_eus-gaap--OtherNonoperatingIncom"/>
      <w:bookmarkEnd w:id="1403"/>
      <w:r>
        <w:rPr>
          <w:rFonts w:ascii="Times New Roman;Times;Serif" w:hAnsi="Times New Roman;Times;Serif"/>
          <w:b w:val="false"/>
          <w:i w:val="false"/>
          <w:caps w:val="false"/>
          <w:smallCaps w:val="false"/>
          <w:sz w:val="20"/>
        </w:rPr>
        <w:t xml:space="preserve">($148,329) and a loss of </w:t>
      </w:r>
      <w:bookmarkStart w:id="1404" w:name="xdx_90E_eus-gaap--OtherNonoperatingIncom"/>
      <w:bookmarkEnd w:id="1404"/>
      <w:r>
        <w:rPr>
          <w:rFonts w:ascii="Times New Roman;Times;Serif" w:hAnsi="Times New Roman;Times;Serif"/>
          <w:b w:val="false"/>
          <w:i w:val="false"/>
          <w:caps w:val="false"/>
          <w:smallCaps w:val="false"/>
          <w:sz w:val="20"/>
        </w:rPr>
        <w:t>($192,945), respectively, and is included in other income (expense) in our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December 31, 2025 and 2024, the Investor exercised </w:t>
      </w:r>
      <w:bookmarkStart w:id="1405" w:name="xdx_904_eus-gaap--ShareBasedCompensation"/>
      <w:bookmarkEnd w:id="1405"/>
      <w:r>
        <w:rPr>
          <w:rFonts w:ascii="Times New Roman;Times;Serif" w:hAnsi="Times New Roman;Times;Serif"/>
          <w:b w:val="false"/>
          <w:i w:val="false"/>
          <w:caps w:val="false"/>
          <w:smallCaps w:val="false"/>
          <w:sz w:val="20"/>
        </w:rPr>
        <w:t xml:space="preserve">0 and </w:t>
      </w:r>
      <w:bookmarkStart w:id="1406" w:name="xdx_900_eus-gaap--ShareBasedCompensation"/>
      <w:bookmarkEnd w:id="1406"/>
      <w:r>
        <w:rPr>
          <w:rFonts w:ascii="Times New Roman;Times;Serif" w:hAnsi="Times New Roman;Times;Serif"/>
          <w:b w:val="false"/>
          <w:i w:val="false"/>
          <w:caps w:val="false"/>
          <w:smallCaps w:val="false"/>
          <w:sz w:val="20"/>
        </w:rPr>
        <w:t>33,333 warrants, respectively. For the year ended December 31, 2024, the Company received $</w:t>
      </w:r>
      <w:bookmarkStart w:id="1407" w:name="xdx_900_eus-gaap--ProceedsFromIssuanceOf"/>
      <w:bookmarkEnd w:id="1407"/>
      <w:r>
        <w:rPr>
          <w:rFonts w:ascii="Times New Roman;Times;Serif" w:hAnsi="Times New Roman;Times;Serif"/>
          <w:b w:val="false"/>
          <w:i w:val="false"/>
          <w:caps w:val="false"/>
          <w:smallCaps w:val="false"/>
          <w:sz w:val="20"/>
        </w:rPr>
        <w:t>50,000 in proceeds and recorded a loss of $</w:t>
      </w:r>
      <w:bookmarkStart w:id="1408" w:name="xdx_909_eus-gaap--ProceedsFromWarrantExe"/>
      <w:bookmarkEnd w:id="1408"/>
      <w:r>
        <w:rPr>
          <w:rFonts w:ascii="Times New Roman;Times;Serif" w:hAnsi="Times New Roman;Times;Serif"/>
          <w:b w:val="false"/>
          <w:i w:val="false"/>
          <w:caps w:val="false"/>
          <w:smallCaps w:val="false"/>
          <w:sz w:val="20"/>
        </w:rPr>
        <w:t>17,776 upon revaluation of the exercised warrants. The loss is included in other income (expense) in our consolidated statements of operations and comprehensive income (loss).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09" w:name="xdx_8BE_zQjTffyhgr62"/>
      <w:bookmarkStart w:id="1410" w:name="xdx_894_ecustom--ScheduleOfChangesInFair"/>
      <w:bookmarkEnd w:id="1409"/>
      <w:bookmarkEnd w:id="1410"/>
      <w:r>
        <w:rPr>
          <w:rFonts w:ascii="Times New Roman;Times;Serif" w:hAnsi="Times New Roman;Times;Serif"/>
          <w:b w:val="false"/>
          <w:i w:val="false"/>
          <w:caps w:val="false"/>
          <w:smallCaps w:val="false"/>
          <w:sz w:val="20"/>
        </w:rPr>
        <w:t>SCHEDULE OF CHANGE IN FAIR VALUE OF EQUITY LINE WARRANTS </w:t>
      </w:r>
    </w:p>
    <w:tbl>
      <w:tblPr>
        <w:tblW w:w="5695" w:type="dxa"/>
        <w:jc w:val="left"/>
        <w:tblInd w:w="0" w:type="dxa"/>
        <w:tblLayout w:type="fixed"/>
        <w:tblCellMar>
          <w:top w:w="0" w:type="dxa"/>
          <w:left w:w="0" w:type="dxa"/>
          <w:bottom w:w="0" w:type="dxa"/>
          <w:right w:w="0" w:type="dxa"/>
        </w:tblCellMar>
      </w:tblPr>
      <w:tblGrid>
        <w:gridCol w:w="3380"/>
        <w:gridCol w:w="60"/>
        <w:gridCol w:w="140"/>
        <w:gridCol w:w="875"/>
        <w:gridCol w:w="95"/>
        <w:gridCol w:w="60"/>
        <w:gridCol w:w="70"/>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1" w:name="xdx_4B1_zOLyJ994dxB5"/>
            <w:bookmarkEnd w:id="1411"/>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2" w:name="xdx_4B5_us-gaap--StatementEquityComponen"/>
            <w:bookmarkEnd w:id="1412"/>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413" w:name="xdx_981_eus-gaap--FairValueMeasurementWi"/>
            <w:bookmarkEnd w:id="1413"/>
          </w:p>
        </w:tc>
        <w:tc>
          <w:tcPr>
            <w:tcW w:w="875" w:type="dxa"/>
            <w:tcBorders/>
            <w:shd w:fill="CCEEFF" w:val="clear"/>
            <w:vAlign w:val="center"/>
          </w:tcPr>
          <w:p>
            <w:pPr>
              <w:pStyle w:val="TableContents"/>
              <w:bidi w:val="0"/>
              <w:spacing w:before="0" w:after="283"/>
              <w:jc w:val="right"/>
              <w:rPr/>
            </w:pPr>
            <w:r>
              <w:rPr/>
              <w:t>292,004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414" w:name="xdx_98D_ecustom--FairValueMeasurementWit"/>
            <w:bookmarkEnd w:id="1414"/>
          </w:p>
        </w:tc>
        <w:tc>
          <w:tcPr>
            <w:tcW w:w="940" w:type="dxa"/>
            <w:tcBorders/>
            <w:shd w:fill="CCEEFF" w:val="cle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15" w:name="xdx_98C_eus-gaap--FairValueMeasurementWi"/>
            <w:bookmarkEnd w:id="1415"/>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(148,329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16" w:name="xdx_98E_ecustom--FairValueMeasurementWit"/>
            <w:bookmarkEnd w:id="1416"/>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17" w:name="xdx_989_eus-gaap--FairValueMeasurementWi"/>
            <w:bookmarkEnd w:id="1417"/>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143,675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18" w:name="xdx_98B_ecustom--FairValueMeasurementWit"/>
            <w:bookmarkEnd w:id="1418"/>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334,314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3380"/>
        <w:gridCol w:w="60"/>
        <w:gridCol w:w="140"/>
        <w:gridCol w:w="800"/>
        <w:gridCol w:w="95"/>
        <w:gridCol w:w="60"/>
        <w:gridCol w:w="70"/>
        <w:gridCol w:w="94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9" w:name="xdx_4B1_znDnfbpaTYjk"/>
            <w:bookmarkEnd w:id="1419"/>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0" w:name="xdx_4B5_us-gaap--StatementEquityComponen"/>
            <w:bookmarkEnd w:id="1420"/>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Fair value,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421" w:name="xdx_98B_eus-gaap--FairValueMeasurementWi"/>
            <w:bookmarkEnd w:id="1421"/>
          </w:p>
        </w:tc>
        <w:tc>
          <w:tcPr>
            <w:tcW w:w="800" w:type="dxa"/>
            <w:tcBorders/>
            <w:shd w:fill="CCEEFF" w:val="clear"/>
            <w:vAlign w:val="center"/>
          </w:tcPr>
          <w:p>
            <w:pPr>
              <w:pStyle w:val="TableContents"/>
              <w:bidi w:val="0"/>
              <w:spacing w:before="0" w:after="283"/>
              <w:jc w:val="right"/>
              <w:rPr/>
            </w:pPr>
            <w:r>
              <w:rPr/>
              <w:t>103,767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422" w:name="xdx_981_ecustom--FairValueMeasurementWit"/>
            <w:bookmarkEnd w:id="1422"/>
          </w:p>
        </w:tc>
        <w:tc>
          <w:tcPr>
            <w:tcW w:w="940" w:type="dxa"/>
            <w:tcBorders/>
            <w:shd w:fill="CCEEFF" w:val="clear"/>
            <w:vAlign w:val="center"/>
          </w:tcPr>
          <w:p>
            <w:pPr>
              <w:pStyle w:val="TableContents"/>
              <w:bidi w:val="0"/>
              <w:spacing w:before="0" w:after="283"/>
              <w:jc w:val="right"/>
              <w:rPr/>
            </w:pPr>
            <w:r>
              <w:rPr/>
              <w:t>367,647</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23" w:name="xdx_987_eus-gaap--FairValueMeasurementWi"/>
            <w:bookmarkEnd w:id="1423"/>
          </w:p>
        </w:tc>
        <w:tc>
          <w:tcPr>
            <w:tcW w:w="800" w:type="dxa"/>
            <w:tcBorders/>
            <w:shd w:fill="FFFFFF" w:val="clear"/>
            <w:vAlign w:val="center"/>
          </w:tcPr>
          <w:p>
            <w:pPr>
              <w:pStyle w:val="TableContents"/>
              <w:bidi w:val="0"/>
              <w:spacing w:before="0" w:after="283"/>
              <w:jc w:val="right"/>
              <w:rPr/>
            </w:pPr>
            <w:r>
              <w:rPr/>
              <w:t>192,945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424" w:name="xdx_98E_ecustom--FairValueMeasurementWit"/>
            <w:bookmarkEnd w:id="1424"/>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25" w:name="xdx_981_ecustom--FairValueMeasurementWit"/>
            <w:bookmarkEnd w:id="1425"/>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26" w:name="xdx_981_ecustom--FairValueMeasurementWit"/>
            <w:bookmarkEnd w:id="1426"/>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(33,333</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b/>
              </w:rPr>
            </w:pPr>
            <w:r>
              <w:rPr>
                <w:b/>
              </w:rPr>
              <w:t>Fair value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27" w:name="xdx_989_eus-gaap--FairValueMeasurementWi"/>
            <w:bookmarkEnd w:id="142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292,004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28" w:name="xdx_98D_ecustom--FairValueMeasurementWit"/>
            <w:bookmarkEnd w:id="1428"/>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334,314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29" w:name="xdx_8A7_zlMPtWkccf9a"/>
      <w:bookmarkEnd w:id="142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RSUs granted to directors vest based on the directors’ continued employment with us through each applicable vest date, which is generally over </w:t>
      </w:r>
      <w:bookmarkStart w:id="1430" w:name="xdx_908_eus-gaap--ShareBasedCompensation"/>
      <w:bookmarkEnd w:id="1430"/>
      <w:r>
        <w:rPr>
          <w:rFonts w:ascii="Times New Roman;Times;Serif" w:hAnsi="Times New Roman;Times;Serif"/>
          <w:b w:val="false"/>
          <w:i w:val="false"/>
          <w:caps w:val="false"/>
          <w:smallCaps w:val="false"/>
          <w:sz w:val="20"/>
        </w:rPr>
        <w:t>1one year. If the vesting conditions are not met, unvested RSUs will be forfeited. The following table summarizes our RSU units activity with directors for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31" w:name="xdx_8B1_zgjG2TQIG9x5"/>
      <w:bookmarkStart w:id="1432" w:name="xdx_898_eus-gaap--ScheduleOfShareBasedCo"/>
      <w:bookmarkEnd w:id="1431"/>
      <w:bookmarkEnd w:id="1432"/>
      <w:r>
        <w:rPr>
          <w:rFonts w:ascii="Times New Roman;Times;Serif" w:hAnsi="Times New Roman;Times;Serif"/>
          <w:b w:val="false"/>
          <w:i w:val="false"/>
          <w:caps w:val="false"/>
          <w:smallCaps w:val="false"/>
          <w:sz w:val="20"/>
        </w:rPr>
        <w:t>SCHEDULE OF RESTRICTED STOCK UNITS ACTIVITY </w:t>
      </w:r>
    </w:p>
    <w:tbl>
      <w:tblPr>
        <w:tblW w:w="5933" w:type="dxa"/>
        <w:jc w:val="left"/>
        <w:tblInd w:w="0" w:type="dxa"/>
        <w:tblLayout w:type="fixed"/>
        <w:tblCellMar>
          <w:top w:w="0" w:type="dxa"/>
          <w:left w:w="0" w:type="dxa"/>
          <w:bottom w:w="0" w:type="dxa"/>
          <w:right w:w="0" w:type="dxa"/>
        </w:tblCellMar>
      </w:tblPr>
      <w:tblGrid>
        <w:gridCol w:w="3635"/>
        <w:gridCol w:w="60"/>
        <w:gridCol w:w="61"/>
        <w:gridCol w:w="903"/>
        <w:gridCol w:w="95"/>
        <w:gridCol w:w="60"/>
        <w:gridCol w:w="215"/>
        <w:gridCol w:w="794"/>
        <w:gridCol w:w="110"/>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br/>
              <w:t>Fair Values</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433" w:name="xdx_988_eus-gaap--ShareBasedCompensation"/>
            <w:bookmarkEnd w:id="1433"/>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434" w:name="xdx_981_eus-gaap--ShareBasedCompensation"/>
            <w:bookmarkEnd w:id="1434"/>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435" w:name="xdx_980_eus-gaap--ShareBasedCompensation"/>
            <w:bookmarkEnd w:id="1435"/>
          </w:p>
        </w:tc>
        <w:tc>
          <w:tcPr>
            <w:tcW w:w="903" w:type="dxa"/>
            <w:tcBorders/>
            <w:shd w:fill="FFFFFF" w:val="clear"/>
            <w:vAlign w:val="center"/>
          </w:tcPr>
          <w:p>
            <w:pPr>
              <w:pStyle w:val="TableContents"/>
              <w:bidi w:val="0"/>
              <w:spacing w:before="0" w:after="283"/>
              <w:jc w:val="right"/>
              <w:rPr/>
            </w:pPr>
            <w:r>
              <w:rPr/>
              <w:t>337,774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436" w:name="xdx_984_eus-gaap--ShareBasedCompensation"/>
            <w:bookmarkEnd w:id="1436"/>
          </w:p>
        </w:tc>
        <w:tc>
          <w:tcPr>
            <w:tcW w:w="794"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437" w:name="xdx_986_eus-gaap--ShareBasedCompensation"/>
            <w:bookmarkEnd w:id="1437"/>
          </w:p>
        </w:tc>
        <w:tc>
          <w:tcPr>
            <w:tcW w:w="903" w:type="dxa"/>
            <w:tcBorders/>
            <w:shd w:fill="CCEEFF" w:val="clear"/>
            <w:vAlign w:val="center"/>
          </w:tcPr>
          <w:p>
            <w:pPr>
              <w:pStyle w:val="TableContents"/>
              <w:bidi w:val="0"/>
              <w:spacing w:before="0" w:after="283"/>
              <w:jc w:val="right"/>
              <w:rPr/>
            </w:pPr>
            <w:r>
              <w:rPr/>
              <w:t>(271,108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438" w:name="xdx_98F_eus-gaap--ShareBasedCompensation"/>
            <w:bookmarkEnd w:id="1438"/>
          </w:p>
        </w:tc>
        <w:tc>
          <w:tcPr>
            <w:tcW w:w="794"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39" w:name="xdx_98B_eus-gaap--ShareBasedCompensation"/>
            <w:bookmarkEnd w:id="1439"/>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40" w:name="xdx_98B_eus-gaap--ShareBasedCompensation"/>
            <w:bookmarkEnd w:id="1440"/>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41" w:name="xdx_981_eus-gaap--ShareBasedCompensation"/>
            <w:bookmarkEnd w:id="1441"/>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66,666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442" w:name="xdx_98F_eus-gaap--ShareBasedCompensation"/>
            <w:bookmarkEnd w:id="1442"/>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33" w:type="dxa"/>
        <w:jc w:val="left"/>
        <w:tblInd w:w="0" w:type="dxa"/>
        <w:tblLayout w:type="fixed"/>
        <w:tblCellMar>
          <w:top w:w="0" w:type="dxa"/>
          <w:left w:w="0" w:type="dxa"/>
          <w:bottom w:w="0" w:type="dxa"/>
          <w:right w:w="0" w:type="dxa"/>
        </w:tblCellMar>
      </w:tblPr>
      <w:tblGrid>
        <w:gridCol w:w="3635"/>
        <w:gridCol w:w="60"/>
        <w:gridCol w:w="70"/>
        <w:gridCol w:w="894"/>
        <w:gridCol w:w="95"/>
        <w:gridCol w:w="60"/>
        <w:gridCol w:w="215"/>
        <w:gridCol w:w="794"/>
        <w:gridCol w:w="110"/>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443" w:name="xdx_981_eus-gaap--ShareBasedCompensation"/>
            <w:bookmarkEnd w:id="1443"/>
          </w:p>
        </w:tc>
        <w:tc>
          <w:tcPr>
            <w:tcW w:w="894" w:type="dxa"/>
            <w:tcBorders/>
            <w:shd w:fill="CCEEFF" w:val="clear"/>
            <w:vAlign w:val="center"/>
          </w:tcPr>
          <w:p>
            <w:pPr>
              <w:pStyle w:val="TableContents"/>
              <w:bidi w:val="0"/>
              <w:spacing w:before="0" w:after="283"/>
              <w:jc w:val="right"/>
              <w:rPr/>
            </w:pPr>
            <w:r>
              <w:rPr/>
              <w:t>43,478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444" w:name="xdx_984_eus-gaap--ShareBasedCompensation"/>
            <w:bookmarkEnd w:id="1444"/>
          </w:p>
        </w:tc>
        <w:tc>
          <w:tcPr>
            <w:tcW w:w="794"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1445" w:name="xdx_984_eus-gaap--ShareBasedCompensation"/>
            <w:bookmarkEnd w:id="1445"/>
          </w:p>
        </w:tc>
        <w:tc>
          <w:tcPr>
            <w:tcW w:w="8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446" w:name="xdx_984_eus-gaap--ShareBasedCompensation"/>
            <w:bookmarkEnd w:id="1446"/>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1447" w:name="xdx_984_eus-gaap--ShareBasedCompensation"/>
            <w:bookmarkEnd w:id="1447"/>
          </w:p>
        </w:tc>
        <w:tc>
          <w:tcPr>
            <w:tcW w:w="894" w:type="dxa"/>
            <w:tcBorders/>
            <w:shd w:fill="CCEEFF" w:val="clear"/>
            <w:vAlign w:val="center"/>
          </w:tcPr>
          <w:p>
            <w:pPr>
              <w:pStyle w:val="TableContents"/>
              <w:bidi w:val="0"/>
              <w:spacing w:before="0" w:after="283"/>
              <w:jc w:val="right"/>
              <w:rPr/>
            </w:pPr>
            <w:r>
              <w:rPr/>
              <w:t>(43,478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448" w:name="xdx_98C_eus-gaap--ShareBasedCompensation"/>
            <w:bookmarkEnd w:id="1448"/>
          </w:p>
        </w:tc>
        <w:tc>
          <w:tcPr>
            <w:tcW w:w="794"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49" w:name="xdx_984_eus-gaap--ShareBasedCompensation"/>
            <w:bookmarkEnd w:id="1449"/>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50" w:name="xdx_984_eus-gaap--ShareBasedCompensation"/>
            <w:bookmarkEnd w:id="1450"/>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51" w:name="xdx_981_eus-gaap--ShareBasedCompensation"/>
            <w:bookmarkEnd w:id="1451"/>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452" w:name="xdx_98F_eus-gaap--ShareBasedCompensation"/>
            <w:bookmarkEnd w:id="1452"/>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53" w:name="xdx_8A6_zDL7TcWn9Fye"/>
      <w:bookmarkEnd w:id="14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RSUs granted to directors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w:t>
      </w:r>
      <w:bookmarkStart w:id="1454" w:name="xdx_903_eus-gaap--ShareBasedCompensation"/>
      <w:bookmarkEnd w:id="1454"/>
      <w:r>
        <w:rPr>
          <w:rFonts w:ascii="Times New Roman;Times;Serif" w:hAnsi="Times New Roman;Times;Serif"/>
          <w:b w:val="false"/>
          <w:i w:val="false"/>
          <w:caps w:val="false"/>
          <w:smallCaps w:val="false"/>
          <w:sz w:val="20"/>
        </w:rPr>
        <w:t>5 years, with awards cliff-vesting after each annual measurement period during the total aggregate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55" w:name="xdx_89A_eus-gaap--ScheduleOfShareBasedCo"/>
      <w:bookmarkEnd w:id="1455"/>
      <w:r>
        <w:rPr>
          <w:rFonts w:ascii="Times New Roman;Times;Serif" w:hAnsi="Times New Roman;Times;Serif"/>
          <w:b w:val="false"/>
          <w:i w:val="false"/>
          <w:caps w:val="false"/>
          <w:smallCaps w:val="false"/>
          <w:sz w:val="20"/>
        </w:rPr>
        <w:t>The following table summarizes our PSU activity with employees, presented with the maximum number of shares that could potentially vest, for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56" w:name="xdx_8BB_zYrhRpzEkORb"/>
      <w:bookmarkEnd w:id="1456"/>
      <w:r>
        <w:rPr>
          <w:rFonts w:ascii="Times New Roman;Times;Serif" w:hAnsi="Times New Roman;Times;Serif"/>
          <w:b w:val="false"/>
          <w:i w:val="false"/>
          <w:caps w:val="false"/>
          <w:smallCaps w:val="false"/>
          <w:sz w:val="20"/>
        </w:rPr>
        <w:t>SCHEDULE OF RESTRICTED STOCK UNITS ACTIVITY </w:t>
      </w:r>
    </w:p>
    <w:tbl>
      <w:tblPr>
        <w:tblW w:w="6009" w:type="dxa"/>
        <w:jc w:val="left"/>
        <w:tblInd w:w="0" w:type="dxa"/>
        <w:tblLayout w:type="fixed"/>
        <w:tblCellMar>
          <w:top w:w="0" w:type="dxa"/>
          <w:left w:w="0" w:type="dxa"/>
          <w:bottom w:w="0" w:type="dxa"/>
          <w:right w:w="0" w:type="dxa"/>
        </w:tblCellMar>
      </w:tblPr>
      <w:tblGrid>
        <w:gridCol w:w="3635"/>
        <w:gridCol w:w="60"/>
        <w:gridCol w:w="60"/>
        <w:gridCol w:w="980"/>
        <w:gridCol w:w="95"/>
        <w:gridCol w:w="60"/>
        <w:gridCol w:w="215"/>
        <w:gridCol w:w="794"/>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7" w:name="xdx_98E_eus-gaap--ShareBasedCompensation"/>
            <w:bookmarkEnd w:id="1457"/>
          </w:p>
        </w:tc>
        <w:tc>
          <w:tcPr>
            <w:tcW w:w="980" w:type="dxa"/>
            <w:tcBorders/>
            <w:shd w:fill="CCEEFF" w:val="clear"/>
            <w:vAlign w:val="center"/>
          </w:tcPr>
          <w:p>
            <w:pPr>
              <w:pStyle w:val="TableContents"/>
              <w:bidi w:val="0"/>
              <w:spacing w:before="0" w:after="283"/>
              <w:jc w:val="right"/>
              <w:rPr/>
            </w:pPr>
            <w:r>
              <w:rPr/>
              <w:t>1,142,284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458" w:name="xdx_98F_eus-gaap--ShareBasedCompensation"/>
            <w:bookmarkEnd w:id="1458"/>
          </w:p>
        </w:tc>
        <w:tc>
          <w:tcPr>
            <w:tcW w:w="794"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9" w:name="xdx_982_eus-gaap--ShareBasedCompensation"/>
            <w:bookmarkEnd w:id="145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460" w:name="xdx_981_eus-gaap--ShareBasedCompensation"/>
            <w:bookmarkEnd w:id="1460"/>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1" w:name="xdx_984_eus-gaap--ShareBasedCompensation"/>
            <w:bookmarkEnd w:id="146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462" w:name="xdx_983_eus-gaap--ShareBasedCompensation"/>
            <w:bookmarkEnd w:id="1462"/>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63" w:name="xdx_982_eus-gaap--ShareBasedCompensation"/>
            <w:bookmarkEnd w:id="146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(14,926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64" w:name="xdx_981_eus-gaap--ShareBasedCompensation"/>
            <w:bookmarkEnd w:id="1464"/>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5" w:name="xdx_98A_eus-gaap--ShareBasedCompensation"/>
            <w:bookmarkEnd w:id="146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1,127,358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66" w:name="xdx_98C_eus-gaap--ShareBasedCompensation"/>
            <w:bookmarkEnd w:id="1466"/>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009" w:type="dxa"/>
        <w:jc w:val="left"/>
        <w:tblInd w:w="0" w:type="dxa"/>
        <w:tblLayout w:type="fixed"/>
        <w:tblCellMar>
          <w:top w:w="0" w:type="dxa"/>
          <w:left w:w="0" w:type="dxa"/>
          <w:bottom w:w="0" w:type="dxa"/>
          <w:right w:w="0" w:type="dxa"/>
        </w:tblCellMar>
      </w:tblPr>
      <w:tblGrid>
        <w:gridCol w:w="3635"/>
        <w:gridCol w:w="60"/>
        <w:gridCol w:w="60"/>
        <w:gridCol w:w="980"/>
        <w:gridCol w:w="95"/>
        <w:gridCol w:w="60"/>
        <w:gridCol w:w="215"/>
        <w:gridCol w:w="794"/>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Values</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7" w:name="xdx_980_eus-gaap--ShareBasedCompensation"/>
            <w:bookmarkEnd w:id="1467"/>
          </w:p>
        </w:tc>
        <w:tc>
          <w:tcPr>
            <w:tcW w:w="980" w:type="dxa"/>
            <w:tcBorders/>
            <w:shd w:fill="CCEEFF" w:val="clear"/>
            <w:vAlign w:val="center"/>
          </w:tcPr>
          <w:p>
            <w:pPr>
              <w:pStyle w:val="TableContents"/>
              <w:bidi w:val="0"/>
              <w:spacing w:before="0" w:after="283"/>
              <w:jc w:val="right"/>
              <w:rPr/>
            </w:pPr>
            <w:r>
              <w:rPr/>
              <w:t>1,165,247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1468" w:name="xdx_986_eus-gaap--ShareBasedCompensation"/>
            <w:bookmarkEnd w:id="1468"/>
          </w:p>
        </w:tc>
        <w:tc>
          <w:tcPr>
            <w:tcW w:w="794" w:type="dxa"/>
            <w:tcBorders/>
            <w:shd w:fill="CCEEFF" w:val="cle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9" w:name="xdx_983_eus-gaap--ShareBasedCompensation"/>
            <w:bookmarkEnd w:id="1469"/>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1470" w:name="xdx_984_eus-gaap--ShareBasedCompensation"/>
            <w:bookmarkEnd w:id="1470"/>
          </w:p>
        </w:tc>
        <w:tc>
          <w:tcPr>
            <w:tcW w:w="7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1" w:name="xdx_98D_eus-gaap--ShareBasedCompensation"/>
            <w:bookmarkEnd w:id="147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1472" w:name="xdx_987_eus-gaap--ShareBasedCompensation"/>
            <w:bookmarkEnd w:id="1472"/>
          </w:p>
        </w:tc>
        <w:tc>
          <w:tcPr>
            <w:tcW w:w="7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Forfeited or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73" w:name="xdx_988_eus-gaap--ShareBasedCompensation"/>
            <w:bookmarkEnd w:id="147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74" w:name="xdx_987_eus-gaap--ShareBasedCompensation"/>
            <w:bookmarkEnd w:id="1474"/>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75" w:name="xdx_983_eus-gaap--ShareBasedCompensation"/>
            <w:bookmarkEnd w:id="147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1,142,284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476" w:name="xdx_98D_eus-gaap--ShareBasedCompensation"/>
            <w:bookmarkEnd w:id="1476"/>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77" w:name="xdx_8AF_zHK6pOiX9SI3"/>
      <w:bookmarkEnd w:id="14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PSUs granted to employees is based on the quoted market price of our common stock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1478" w:name="xdx_901_eus-gaap--TreasuryStockCommonSha"/>
      <w:bookmarkEnd w:id="1478"/>
      <w:r>
        <w:rPr>
          <w:rFonts w:ascii="Times New Roman;Times;Serif" w:hAnsi="Times New Roman;Times;Serif"/>
          <w:b w:val="false"/>
          <w:i w:val="false"/>
          <w:caps w:val="false"/>
          <w:smallCaps w:val="false"/>
          <w:sz w:val="20"/>
        </w:rPr>
        <w:t>1,350,275 shares of Class A common stock were repurchased pursuant to the Share Repurchase Program for an aggregate purchase price of approximately $</w:t>
      </w:r>
      <w:bookmarkStart w:id="1479" w:name="xdx_906_eus-gaap--TreasuryStockCommonVal"/>
      <w:bookmarkEnd w:id="1479"/>
      <w:r>
        <w:rPr>
          <w:rFonts w:ascii="Times New Roman;Times;Serif" w:hAnsi="Times New Roman;Times;Serif"/>
          <w:b w:val="false"/>
          <w:i w:val="false"/>
          <w:caps w:val="false"/>
          <w:smallCaps w:val="false"/>
          <w:sz w:val="20"/>
        </w:rPr>
        <w:t>3.7 million. The average price paid per share was $</w:t>
      </w:r>
      <w:bookmarkStart w:id="1480" w:name="xdx_90A_eus-gaap--AcceleratedShareRepurc"/>
      <w:bookmarkEnd w:id="1480"/>
      <w:r>
        <w:rPr>
          <w:rFonts w:ascii="Times New Roman;Times;Serif" w:hAnsi="Times New Roman;Times;Serif"/>
          <w:b w:val="false"/>
          <w:i w:val="false"/>
          <w:caps w:val="false"/>
          <w:smallCaps w:val="false"/>
          <w:sz w:val="20"/>
        </w:rPr>
        <w:t>2.72 and approximately $</w:t>
      </w:r>
      <w:bookmarkStart w:id="1481" w:name="xdx_908_eus-gaap--StockRepurchaseProgram"/>
      <w:bookmarkEnd w:id="1481"/>
      <w:r>
        <w:rPr>
          <w:rFonts w:ascii="Times New Roman;Times;Serif" w:hAnsi="Times New Roman;Times;Serif"/>
          <w:b w:val="false"/>
          <w:i w:val="false"/>
          <w:caps w:val="false"/>
          <w:smallCaps w:val="false"/>
          <w:sz w:val="20"/>
        </w:rPr>
        <w:t>1.3 million aggregate amount of shares of Class A common stock remain available for repurchase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82" w:name="xdx_906_eus-gaap--StockRepurchasedDuring"/>
      <w:bookmarkStart w:id="1483" w:name="xdx_906_eus-gaap--StockRepurchasedDuring"/>
      <w:bookmarkEnd w:id="1482"/>
      <w:bookmarkEnd w:id="1483"/>
      <w:r>
        <w:rPr>
          <w:rFonts w:ascii="Times New Roman;Times;Serif" w:hAnsi="Times New Roman;Times;Serif"/>
          <w:b w:val="false"/>
          <w:i w:val="false"/>
          <w:caps w:val="false"/>
          <w:smallCaps w:val="false"/>
          <w:sz w:val="20"/>
        </w:rPr>
        <w:t>no share repurchases made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(income) resulting from RSUs of $</w:t>
      </w:r>
      <w:bookmarkStart w:id="1484" w:name="xdx_905_eus-gaap--AllocatedShareBasedCom"/>
      <w:bookmarkEnd w:id="1484"/>
      <w:r>
        <w:rPr>
          <w:rFonts w:ascii="Times New Roman;Times;Serif" w:hAnsi="Times New Roman;Times;Serif"/>
          <w:b w:val="false"/>
          <w:i w:val="false"/>
          <w:caps w:val="false"/>
          <w:smallCaps w:val="false"/>
          <w:sz w:val="20"/>
        </w:rPr>
        <w:t xml:space="preserve">342,925 and </w:t>
      </w:r>
      <w:bookmarkStart w:id="1485" w:name="xdx_90F_eus-gaap--AllocatedShareBasedCom"/>
      <w:bookmarkEnd w:id="1485"/>
      <w:r>
        <w:rPr>
          <w:rFonts w:ascii="Times New Roman;Times;Serif" w:hAnsi="Times New Roman;Times;Serif"/>
          <w:b w:val="false"/>
          <w:i w:val="false"/>
          <w:caps w:val="false"/>
          <w:smallCaps w:val="false"/>
          <w:sz w:val="20"/>
        </w:rPr>
        <w:t>($828,495) are recorded under general and administrative expenses included in our consolidated statements of operations and comprehensive income (loss) for the years ended December 31, 2025 and 2024, respectively. Stock-based compensation expense (income) resulting from PSUs of $</w:t>
      </w:r>
      <w:bookmarkStart w:id="1486" w:name="xdx_90A_eus-gaap--AllocatedShareBasedCom"/>
      <w:bookmarkEnd w:id="1486"/>
      <w:r>
        <w:rPr>
          <w:rFonts w:ascii="Times New Roman;Times;Serif" w:hAnsi="Times New Roman;Times;Serif"/>
          <w:b w:val="false"/>
          <w:i w:val="false"/>
          <w:caps w:val="false"/>
          <w:smallCaps w:val="false"/>
          <w:sz w:val="20"/>
        </w:rPr>
        <w:t xml:space="preserve">28,571 and </w:t>
      </w:r>
      <w:bookmarkStart w:id="1487" w:name="xdx_90B_eus-gaap--AllocatedShareBasedCom"/>
      <w:bookmarkEnd w:id="1487"/>
      <w:r>
        <w:rPr>
          <w:rFonts w:ascii="Times New Roman;Times;Serif" w:hAnsi="Times New Roman;Times;Serif"/>
          <w:b w:val="false"/>
          <w:i w:val="false"/>
          <w:caps w:val="false"/>
          <w:smallCaps w:val="false"/>
          <w:sz w:val="20"/>
        </w:rPr>
        <w:t>($61,713) are recorded under research and development expenses included in our consolidated statements of operations and comprehensive income (loss)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twelve months ended December 31, 2025 and 2024, the Company recognized approximately $</w:t>
      </w:r>
      <w:bookmarkStart w:id="1488" w:name="xdx_900_eus-gaap--EmployeeServiceShareBa"/>
      <w:bookmarkEnd w:id="1488"/>
      <w:r>
        <w:rPr>
          <w:rFonts w:ascii="Times New Roman;Times;Serif" w:hAnsi="Times New Roman;Times;Serif"/>
          <w:b w:val="false"/>
          <w:i w:val="false"/>
          <w:caps w:val="false"/>
          <w:smallCaps w:val="false"/>
          <w:sz w:val="20"/>
        </w:rPr>
        <w:t>83,178 of deferred income tax benefit, and $</w:t>
      </w:r>
      <w:bookmarkStart w:id="1489" w:name="xdx_90E_eus-gaap--DeferredOtherTaxExpens"/>
      <w:bookmarkEnd w:id="1489"/>
      <w:r>
        <w:rPr>
          <w:rFonts w:ascii="Times New Roman;Times;Serif" w:hAnsi="Times New Roman;Times;Serif"/>
          <w:b w:val="false"/>
          <w:i w:val="false"/>
          <w:caps w:val="false"/>
          <w:smallCaps w:val="false"/>
          <w:sz w:val="20"/>
        </w:rPr>
        <w:t>201,815 of deferred income tax expense, respectively, related to our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total unrecognized compensation cost related to RSUs and PSUs was approximately $</w:t>
      </w:r>
      <w:bookmarkStart w:id="1490" w:name="xdx_903_eus-gaap--EmployeeServiceShareBa"/>
      <w:bookmarkEnd w:id="1490"/>
      <w:r>
        <w:rPr>
          <w:rFonts w:ascii="Times New Roman;Times;Serif" w:hAnsi="Times New Roman;Times;Serif"/>
          <w:b w:val="false"/>
          <w:i w:val="false"/>
          <w:caps w:val="false"/>
          <w:smallCaps w:val="false"/>
          <w:sz w:val="20"/>
        </w:rPr>
        <w:t xml:space="preserve">1.8 million and is expected to be recognized over a weighted-average service period of </w:t>
      </w:r>
      <w:bookmarkStart w:id="1491" w:name="xdx_90A_eus-gaap--EmployeeServiceShareBa"/>
      <w:bookmarkEnd w:id="1491"/>
      <w:r>
        <w:rPr>
          <w:rFonts w:ascii="Times New Roman;Times;Serif" w:hAnsi="Times New Roman;Times;Serif"/>
          <w:b w:val="false"/>
          <w:i w:val="false"/>
          <w:caps w:val="false"/>
          <w:smallCaps w:val="false"/>
          <w:sz w:val="20"/>
        </w:rPr>
        <w:t>1.3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92" w:name="xdx_807_eus-gaap--SegmentReportingDisclo"/>
      <w:bookmarkEnd w:id="1492"/>
      <w:r>
        <w:rPr>
          <w:rFonts w:ascii="Times New Roman;Times;Serif" w:hAnsi="Times New Roman;Times;Serif"/>
          <w:b/>
          <w:i w:val="false"/>
          <w:caps w:val="false"/>
          <w:smallCaps w:val="false"/>
          <w:sz w:val="20"/>
        </w:rPr>
        <w:t xml:space="preserve">NOTE 18 – </w:t>
      </w:r>
      <w:bookmarkStart w:id="1493" w:name="xdx_821_zvzibt1k1VIb"/>
      <w:bookmarkEnd w:id="1493"/>
      <w:r>
        <w:rPr>
          <w:rFonts w:ascii="Times New Roman;Times;Serif" w:hAnsi="Times New Roman;Times;Serif"/>
          <w:b/>
          <w:i w:val="false"/>
          <w:caps w:val="false"/>
          <w:smallCaps w:val="false"/>
          <w:sz w:val="20"/>
        </w:rPr>
        <w:t>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our Founder, Chief Executive Officer, Chief Strategy Officer, and Chairman Mr. Hai Shi. The CODM assesses performance and decides how to allocate resources based on net income (loss) to evaluate operational efficiency and direct resources of the Company. Segment assets are reported on the consolidated balance sheets as total assets. The table below presents segment revenue, operating profit and significant expenses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hanging="0"/>
        <w:jc w:val="both"/>
        <w:rPr>
          <w:rFonts w:ascii="Times New Roman;Times;Serif" w:hAnsi="Times New Roman;Times;Serif"/>
          <w:b w:val="false"/>
          <w:i w:val="false"/>
          <w:caps w:val="false"/>
          <w:smallCaps w:val="false"/>
          <w:sz w:val="20"/>
        </w:rPr>
      </w:pPr>
      <w:bookmarkStart w:id="1494" w:name="xdx_8B6_z2AIBbyeeBC1"/>
      <w:bookmarkStart w:id="1495" w:name="xdx_895_eus-gaap--ScheduleOfSegmentRepor"/>
      <w:bookmarkEnd w:id="1494"/>
      <w:bookmarkEnd w:id="1495"/>
      <w:r>
        <w:rPr>
          <w:rFonts w:ascii="Times New Roman;Times;Serif" w:hAnsi="Times New Roman;Times;Serif"/>
          <w:b w:val="false"/>
          <w:i w:val="false"/>
          <w:caps w:val="false"/>
          <w:smallCaps w:val="false"/>
          <w:sz w:val="20"/>
        </w:rPr>
        <w:t>SCHEDULE OF SEGMENT REVENUE, OPERATING PROFIT AND SIGNIFICANT EXPENSES </w:t>
      </w:r>
    </w:p>
    <w:tbl>
      <w:tblPr>
        <w:tblW w:w="7415" w:type="dxa"/>
        <w:jc w:val="left"/>
        <w:tblInd w:w="0" w:type="dxa"/>
        <w:tblLayout w:type="fixed"/>
        <w:tblCellMar>
          <w:top w:w="0" w:type="dxa"/>
          <w:left w:w="0" w:type="dxa"/>
          <w:bottom w:w="0" w:type="dxa"/>
          <w:right w:w="0" w:type="dxa"/>
        </w:tblCellMar>
      </w:tblPr>
      <w:tblGrid>
        <w:gridCol w:w="4535"/>
        <w:gridCol w:w="60"/>
        <w:gridCol w:w="140"/>
        <w:gridCol w:w="1175"/>
        <w:gridCol w:w="95"/>
        <w:gridCol w:w="60"/>
        <w:gridCol w:w="140"/>
        <w:gridCol w:w="1100"/>
        <w:gridCol w:w="110"/>
      </w:tblGrid>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1496" w:name="xdx_496_20250101__20251231__srt--Consoli"/>
            <w:bookmarkEnd w:id="1496"/>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7" w:name="xdx_49F_20240101__20241231__srt--Consoli"/>
            <w:bookmarkEnd w:id="149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498" w:name="xdx_40B_eus-gaap--RevenueFromContractWit"/>
            <w:bookmarkEnd w:id="1498"/>
          </w:p>
        </w:tc>
      </w:tr>
      <w:tr>
        <w:trPr/>
        <w:tc>
          <w:tcPr>
            <w:tcW w:w="4535"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81,225,622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84,467,047</w:t>
            </w:r>
          </w:p>
        </w:tc>
        <w:tc>
          <w:tcPr>
            <w:tcW w:w="110" w:type="dxa"/>
            <w:tcBorders/>
            <w:shd w:fill="CCEEFF" w:val="clear"/>
            <w:vAlign w:val="center"/>
          </w:tcPr>
          <w:p>
            <w:pPr>
              <w:pStyle w:val="TableContents"/>
              <w:bidi w:val="0"/>
              <w:spacing w:before="0" w:after="283"/>
              <w:jc w:val="left"/>
              <w:rPr/>
            </w:pPr>
            <w:r>
              <w:rPr/>
              <w:t> </w:t>
            </w:r>
            <w:bookmarkStart w:id="1499" w:name="xdx_40E_eus-gaap--CostOfGoodsAndServices"/>
            <w:bookmarkEnd w:id="1499"/>
          </w:p>
        </w:tc>
      </w:tr>
      <w:tr>
        <w:trPr/>
        <w:tc>
          <w:tcPr>
            <w:tcW w:w="45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58,794,947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54,236,342</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0" w:name="xdx_400_eus-gaap--GrossProfit_iT_mtGPzvV"/>
            <w:bookmarkEnd w:id="1500"/>
          </w:p>
        </w:tc>
      </w:tr>
      <w:tr>
        <w:trPr/>
        <w:tc>
          <w:tcPr>
            <w:tcW w:w="453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22,430,675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30,230,705</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1" w:name="xdx_402_eus-gaap--OperatingExpensesAbstr"/>
            <w:bookmarkEnd w:id="1501"/>
          </w:p>
        </w:tc>
      </w:tr>
      <w:tr>
        <w:trPr/>
        <w:tc>
          <w:tcPr>
            <w:tcW w:w="453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2" w:name="xdx_405_eus-gaap--LaborAndRelatedExpense"/>
            <w:bookmarkEnd w:id="1502"/>
          </w:p>
        </w:tc>
      </w:tr>
      <w:tr>
        <w:trPr/>
        <w:tc>
          <w:tcPr>
            <w:tcW w:w="4535" w:type="dxa"/>
            <w:tcBorders/>
            <w:shd w:fill="CCEEFF" w:val="clear"/>
            <w:vAlign w:val="center"/>
          </w:tcPr>
          <w:p>
            <w:pPr>
              <w:pStyle w:val="TableContents"/>
              <w:bidi w:val="0"/>
              <w:spacing w:before="0" w:after="283"/>
              <w:jc w:val="left"/>
              <w:rPr/>
            </w:pPr>
            <w:r>
              <w:rPr/>
              <w:t>Salaries and Wages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7,806,131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4,962,697</w:t>
            </w:r>
          </w:p>
        </w:tc>
        <w:tc>
          <w:tcPr>
            <w:tcW w:w="110" w:type="dxa"/>
            <w:tcBorders/>
            <w:shd w:fill="CCEEFF" w:val="clear"/>
            <w:vAlign w:val="center"/>
          </w:tcPr>
          <w:p>
            <w:pPr>
              <w:pStyle w:val="TableContents"/>
              <w:bidi w:val="0"/>
              <w:spacing w:before="0" w:after="283"/>
              <w:jc w:val="left"/>
              <w:rPr/>
            </w:pPr>
            <w:r>
              <w:rPr/>
              <w:t> </w:t>
            </w:r>
            <w:bookmarkStart w:id="1503" w:name="xdx_402_eus-gaap--OtherExpenses_maOEzI8u"/>
            <w:bookmarkEnd w:id="1503"/>
          </w:p>
        </w:tc>
      </w:tr>
      <w:tr>
        <w:trPr/>
        <w:tc>
          <w:tcPr>
            <w:tcW w:w="4535" w:type="dxa"/>
            <w:tcBorders/>
            <w:shd w:fill="FFFFFF" w:val="clear"/>
            <w:vAlign w:val="center"/>
          </w:tcPr>
          <w:p>
            <w:pPr>
              <w:pStyle w:val="TableContents"/>
              <w:bidi w:val="0"/>
              <w:spacing w:before="0" w:after="283"/>
              <w:jc w:val="left"/>
              <w:rPr/>
            </w:pPr>
            <w:r>
              <w:rPr/>
              <w:t>Public Company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741,666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567,285</w:t>
            </w:r>
          </w:p>
        </w:tc>
        <w:tc>
          <w:tcPr>
            <w:tcW w:w="110" w:type="dxa"/>
            <w:tcBorders/>
            <w:shd w:fill="FFFFFF" w:val="clear"/>
            <w:vAlign w:val="center"/>
          </w:tcPr>
          <w:p>
            <w:pPr>
              <w:pStyle w:val="TableContents"/>
              <w:bidi w:val="0"/>
              <w:spacing w:before="0" w:after="283"/>
              <w:jc w:val="left"/>
              <w:rPr/>
            </w:pPr>
            <w:r>
              <w:rPr/>
              <w:t> </w:t>
            </w:r>
            <w:bookmarkStart w:id="1504" w:name="xdx_407_eus-gaap--GeneralAndAdministrati"/>
            <w:bookmarkEnd w:id="1504"/>
          </w:p>
        </w:tc>
      </w:tr>
      <w:tr>
        <w:trPr/>
        <w:tc>
          <w:tcPr>
            <w:tcW w:w="453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11,080,591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7,337,228</w:t>
            </w:r>
          </w:p>
        </w:tc>
        <w:tc>
          <w:tcPr>
            <w:tcW w:w="110" w:type="dxa"/>
            <w:tcBorders/>
            <w:shd w:fill="CCEEFF" w:val="clear"/>
            <w:vAlign w:val="center"/>
          </w:tcPr>
          <w:p>
            <w:pPr>
              <w:pStyle w:val="TableContents"/>
              <w:bidi w:val="0"/>
              <w:spacing w:before="0" w:after="283"/>
              <w:jc w:val="left"/>
              <w:rPr/>
            </w:pPr>
            <w:r>
              <w:rPr/>
              <w:t> </w:t>
            </w:r>
            <w:bookmarkStart w:id="1505" w:name="xdx_405_eus-gaap--ResearchAndDevelopment"/>
            <w:bookmarkEnd w:id="1505"/>
          </w:p>
        </w:tc>
      </w:tr>
      <w:tr>
        <w:trPr/>
        <w:tc>
          <w:tcPr>
            <w:tcW w:w="453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14,580,668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11,647,293</w:t>
            </w:r>
          </w:p>
        </w:tc>
        <w:tc>
          <w:tcPr>
            <w:tcW w:w="110" w:type="dxa"/>
            <w:tcBorders/>
            <w:shd w:fill="FFFFFF" w:val="clear"/>
            <w:vAlign w:val="center"/>
          </w:tcPr>
          <w:p>
            <w:pPr>
              <w:pStyle w:val="TableContents"/>
              <w:bidi w:val="0"/>
              <w:spacing w:before="0" w:after="283"/>
              <w:jc w:val="left"/>
              <w:rPr/>
            </w:pPr>
            <w:r>
              <w:rPr/>
              <w:t> </w:t>
            </w:r>
            <w:bookmarkStart w:id="1506" w:name="xdx_405_eus-gaap--MarketingAndAdvertisin"/>
            <w:bookmarkEnd w:id="1506"/>
          </w:p>
        </w:tc>
      </w:tr>
      <w:tr>
        <w:trPr/>
        <w:tc>
          <w:tcPr>
            <w:tcW w:w="4535" w:type="dxa"/>
            <w:tcBorders/>
            <w:shd w:fill="CCEEFF" w:val="clear"/>
            <w:vAlign w:val="center"/>
          </w:tcPr>
          <w:p>
            <w:pPr>
              <w:pStyle w:val="TableContents"/>
              <w:bidi w:val="0"/>
              <w:spacing w:before="0" w:after="283"/>
              <w:jc w:val="left"/>
              <w:rPr/>
            </w:pPr>
            <w:r>
              <w:rPr/>
              <w:t>Advertising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5,236,951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1,523,398</w:t>
            </w:r>
          </w:p>
        </w:tc>
        <w:tc>
          <w:tcPr>
            <w:tcW w:w="110" w:type="dxa"/>
            <w:tcBorders/>
            <w:shd w:fill="CCEEFF" w:val="clear"/>
            <w:vAlign w:val="center"/>
          </w:tcPr>
          <w:p>
            <w:pPr>
              <w:pStyle w:val="TableContents"/>
              <w:bidi w:val="0"/>
              <w:spacing w:before="0" w:after="283"/>
              <w:jc w:val="left"/>
              <w:rPr/>
            </w:pPr>
            <w:r>
              <w:rPr/>
              <w:t> </w:t>
            </w:r>
            <w:bookmarkStart w:id="1507" w:name="xdx_400_eus-gaap--Depreciation_maOEzI8u_"/>
            <w:bookmarkEnd w:id="1507"/>
          </w:p>
        </w:tc>
      </w:tr>
      <w:tr>
        <w:trPr/>
        <w:tc>
          <w:tcPr>
            <w:tcW w:w="453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247,976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303,714</w:t>
            </w:r>
          </w:p>
        </w:tc>
        <w:tc>
          <w:tcPr>
            <w:tcW w:w="110" w:type="dxa"/>
            <w:tcBorders/>
            <w:shd w:fill="FFFFFF" w:val="clear"/>
            <w:vAlign w:val="center"/>
          </w:tcPr>
          <w:p>
            <w:pPr>
              <w:pStyle w:val="TableContents"/>
              <w:bidi w:val="0"/>
              <w:spacing w:before="0" w:after="283"/>
              <w:jc w:val="left"/>
              <w:rPr/>
            </w:pPr>
            <w:r>
              <w:rPr/>
              <w:t> </w:t>
            </w:r>
            <w:bookmarkStart w:id="1508" w:name="xdx_40F_eus-gaap--OperatingExpenses_iT_m"/>
            <w:bookmarkEnd w:id="1508"/>
          </w:p>
        </w:tc>
      </w:tr>
      <w:tr>
        <w:trPr/>
        <w:tc>
          <w:tcPr>
            <w:tcW w:w="453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39,693,983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26,341,615</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9" w:name="xdx_404_eus-gaap--OperatingIncomeLoss_iT"/>
            <w:bookmarkEnd w:id="1509"/>
          </w:p>
        </w:tc>
      </w:tr>
      <w:tr>
        <w:trPr/>
        <w:tc>
          <w:tcPr>
            <w:tcW w:w="4535"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(17,263,308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3,889,090</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0" w:name="xdx_40D_eus-gaap--NonoperatingIncomeExpe"/>
            <w:bookmarkEnd w:id="1510"/>
          </w:p>
        </w:tc>
      </w:tr>
      <w:tr>
        <w:trPr/>
        <w:tc>
          <w:tcPr>
            <w:tcW w:w="453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714,476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(1,429,891</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1" w:name="xdx_40F_eus-gaap--IncomeLossFromContinui"/>
            <w:bookmarkEnd w:id="1511"/>
          </w:p>
        </w:tc>
      </w:tr>
      <w:tr>
        <w:trPr/>
        <w:tc>
          <w:tcPr>
            <w:tcW w:w="4535" w:type="dxa"/>
            <w:tcBorders/>
            <w:shd w:fill="CCEEFF" w:val="clear"/>
            <w:vAlign w:val="center"/>
          </w:tcPr>
          <w:p>
            <w:pPr>
              <w:pStyle w:val="TableContents"/>
              <w:bidi w:val="0"/>
              <w:spacing w:before="0" w:after="283"/>
              <w:jc w:val="left"/>
              <w:rPr/>
            </w:pPr>
            <w:r>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(16,548,832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2,459,199</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2" w:name="xdx_401_eus-gaap--IncomeTaxExpenseBenefi"/>
            <w:bookmarkEnd w:id="1512"/>
          </w:p>
        </w:tc>
      </w:tr>
      <w:tr>
        <w:trPr/>
        <w:tc>
          <w:tcPr>
            <w:tcW w:w="453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10,688,900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632,124</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13" w:name="xdx_403_eus-gaap--ProfitLoss_mtPLzQFg_zI"/>
            <w:bookmarkEnd w:id="1513"/>
          </w:p>
        </w:tc>
      </w:tr>
      <w:tr>
        <w:trPr/>
        <w:tc>
          <w:tcPr>
            <w:tcW w:w="453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(27,237,732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1,827,075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14" w:name="xdx_8A5_z0AeqcuppcTb"/>
      <w:bookmarkEnd w:id="15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is consistent with that presented in the consolidated statements of cash flows. There are no additional segment items requiring separate disclosure. Interest income, interest expense, other income and foreign currency transactions are captured in the total other income (expense), net line item. The Company continues to report revenue by geographic region as part of its revenue disclosures, see Note 3 –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The CFO provides reports to the CODM for key decision making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515" w:name="xdx_803_eus-gaap--OtherNonoperatingIncom"/>
      <w:bookmarkEnd w:id="1515"/>
      <w:r>
        <w:rPr>
          <w:rFonts w:ascii="Times New Roman;Times;Serif" w:hAnsi="Times New Roman;Times;Serif"/>
          <w:b/>
          <w:i w:val="false"/>
          <w:caps w:val="false"/>
          <w:smallCaps w:val="false"/>
          <w:sz w:val="20"/>
        </w:rPr>
        <w:t xml:space="preserve">NOTE 19 – </w:t>
      </w:r>
      <w:bookmarkStart w:id="1516" w:name="xdx_825_zghIC1nrKHy4"/>
      <w:bookmarkEnd w:id="1516"/>
      <w:r>
        <w:rPr>
          <w:rFonts w:ascii="Times New Roman;Times;Serif" w:hAnsi="Times New Roman;Times;Serif"/>
          <w:b/>
          <w:i w:val="false"/>
          <w:caps w:val="false"/>
          <w:smallCaps w:val="false"/>
          <w:sz w:val="20"/>
        </w:rPr>
        <w:t>OTHER INCOME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517" w:name="xdx_897_eus-gaap--ScheduleOfOtherNonoper"/>
      <w:bookmarkEnd w:id="1517"/>
      <w:r>
        <w:rPr>
          <w:rFonts w:ascii="Times New Roman;Times;Serif" w:hAnsi="Times New Roman;Times;Serif"/>
          <w:b w:val="false"/>
          <w:i w:val="false"/>
          <w:caps w:val="false"/>
          <w:smallCaps w:val="false"/>
          <w:sz w:val="20"/>
        </w:rPr>
        <w:t>Other income (expense) consisted of the following as of December 31, 2025 and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518" w:name="xdx_8B8_zJ1dzFMHmJcj"/>
      <w:bookmarkEnd w:id="1518"/>
      <w:r>
        <w:rPr>
          <w:rFonts w:ascii="Times New Roman;Times;Serif" w:hAnsi="Times New Roman;Times;Serif"/>
          <w:b w:val="false"/>
          <w:i w:val="false"/>
          <w:caps w:val="false"/>
          <w:smallCaps w:val="false"/>
          <w:sz w:val="20"/>
        </w:rPr>
        <w:t>SCHEDULE OF OTHER INCOME EXPENSE </w:t>
      </w:r>
    </w:p>
    <w:tbl>
      <w:tblPr>
        <w:tblW w:w="7055" w:type="dxa"/>
        <w:jc w:val="left"/>
        <w:tblInd w:w="0" w:type="dxa"/>
        <w:tblLayout w:type="fixed"/>
        <w:tblCellMar>
          <w:top w:w="0" w:type="dxa"/>
          <w:left w:w="0" w:type="dxa"/>
          <w:bottom w:w="0" w:type="dxa"/>
          <w:right w:w="0" w:type="dxa"/>
        </w:tblCellMar>
      </w:tblPr>
      <w:tblGrid>
        <w:gridCol w:w="4520"/>
        <w:gridCol w:w="60"/>
        <w:gridCol w:w="140"/>
        <w:gridCol w:w="875"/>
        <w:gridCol w:w="95"/>
        <w:gridCol w:w="60"/>
        <w:gridCol w:w="140"/>
        <w:gridCol w:w="1055"/>
        <w:gridCol w:w="110"/>
      </w:tblGrid>
      <w:tr>
        <w:trPr/>
        <w:tc>
          <w:tcPr>
            <w:tcW w:w="4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19" w:name="xdx_49E_20250101__20251231_z7OrHoTOVyn4"/>
            <w:bookmarkEnd w:id="1519"/>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0" w:name="xdx_49E_20240101__20241231_zv6M4mGbN6m3"/>
            <w:bookmarkEnd w:id="1520"/>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521" w:name="xdx_40E_ecustom--WarrantRevaluation_maON"/>
            <w:bookmarkEnd w:id="1521"/>
          </w:p>
        </w:tc>
      </w:tr>
      <w:tr>
        <w:trPr/>
        <w:tc>
          <w:tcPr>
            <w:tcW w:w="4520" w:type="dxa"/>
            <w:tcBorders/>
            <w:shd w:fill="CCEEFF" w:val="clear"/>
            <w:vAlign w:val="center"/>
          </w:tcPr>
          <w:p>
            <w:pPr>
              <w:pStyle w:val="TableContents"/>
              <w:bidi w:val="0"/>
              <w:spacing w:before="0" w:after="283"/>
              <w:jc w:val="left"/>
              <w:rPr/>
            </w:pPr>
            <w:r>
              <w:rPr/>
              <w:t>Warrant revaluation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640,449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(1,332,815</w:t>
            </w:r>
          </w:p>
        </w:tc>
        <w:tc>
          <w:tcPr>
            <w:tcW w:w="110" w:type="dxa"/>
            <w:tcBorders/>
            <w:shd w:fill="CCEEFF" w:val="clear"/>
            <w:vAlign w:val="center"/>
          </w:tcPr>
          <w:p>
            <w:pPr>
              <w:pStyle w:val="TableContents"/>
              <w:bidi w:val="0"/>
              <w:spacing w:before="0" w:after="283"/>
              <w:jc w:val="left"/>
              <w:rPr/>
            </w:pPr>
            <w:r>
              <w:rPr/>
              <w:t>)</w:t>
            </w:r>
            <w:bookmarkStart w:id="1522" w:name="xdx_40B_ecustom--ConvertibleNotesFairMar"/>
            <w:bookmarkEnd w:id="1522"/>
          </w:p>
        </w:tc>
      </w:tr>
      <w:tr>
        <w:trPr/>
        <w:tc>
          <w:tcPr>
            <w:tcW w:w="4520" w:type="dxa"/>
            <w:tcBorders/>
            <w:shd w:fill="FFFFFF" w:val="clear"/>
            <w:vAlign w:val="center"/>
          </w:tcPr>
          <w:p>
            <w:pPr>
              <w:pStyle w:val="TableContents"/>
              <w:bidi w:val="0"/>
              <w:spacing w:before="0" w:after="283"/>
              <w:jc w:val="left"/>
              <w:rPr/>
            </w:pPr>
            <w:r>
              <w:rPr/>
              <w:t>Convertible notes fair market value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(504,657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23" w:name="xdx_401_ecustom--DeferredOfferingCost_iN"/>
            <w:bookmarkEnd w:id="1523"/>
          </w:p>
        </w:tc>
      </w:tr>
      <w:tr>
        <w:trPr/>
        <w:tc>
          <w:tcPr>
            <w:tcW w:w="452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24" w:name="xdx_402_eus-gaap--OtherNonoperatingIncom"/>
            <w:bookmarkEnd w:id="1524"/>
          </w:p>
        </w:tc>
      </w:tr>
      <w:tr>
        <w:trPr/>
        <w:tc>
          <w:tcPr>
            <w:tcW w:w="45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84,670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351,592</w:t>
            </w:r>
          </w:p>
        </w:tc>
        <w:tc>
          <w:tcPr>
            <w:tcW w:w="110" w:type="dxa"/>
            <w:tcBorders/>
            <w:shd w:fill="FFFFFF" w:val="clear"/>
            <w:vAlign w:val="center"/>
          </w:tcPr>
          <w:p>
            <w:pPr>
              <w:pStyle w:val="TableContents"/>
              <w:bidi w:val="0"/>
              <w:spacing w:before="0" w:after="283"/>
              <w:jc w:val="left"/>
              <w:rPr/>
            </w:pPr>
            <w:r>
              <w:rPr/>
              <w:t> </w:t>
            </w:r>
            <w:bookmarkStart w:id="1525" w:name="xdx_409_eus-gaap--OtherNonoperatingIncom"/>
            <w:bookmarkEnd w:id="1525"/>
          </w:p>
        </w:tc>
      </w:tr>
      <w:tr>
        <w:trPr/>
        <w:tc>
          <w:tcPr>
            <w:tcW w:w="4520"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115,051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(981,223</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bookmarkStart w:id="1526" w:name="xdx_8A2_zw1ZIJouvH76"/>
      <w:bookmarkEnd w:id="152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27" w:name="xdx_80E_eus-gaap--SubsequentEventsTextBl"/>
      <w:bookmarkEnd w:id="1527"/>
      <w:r>
        <w:rPr>
          <w:rFonts w:ascii="Times New Roman;Times;Serif" w:hAnsi="Times New Roman;Times;Serif"/>
          <w:b/>
          <w:i w:val="false"/>
          <w:caps w:val="false"/>
          <w:smallCaps w:val="false"/>
          <w:sz w:val="20"/>
        </w:rPr>
        <w:t xml:space="preserve">NOTE 20 – </w:t>
      </w:r>
      <w:bookmarkStart w:id="1528" w:name="xdx_82D_ztQAoWTPdpt3"/>
      <w:bookmarkEnd w:id="152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amended the 2021 Revolving Loan whereby the maximum principal amount of the revolving credit facility was reduced from $</w:t>
            </w:r>
            <w:bookmarkStart w:id="1529" w:name="xdx_901_eus-gaap--LineOfCreditFacilityMa"/>
            <w:bookmarkEnd w:id="1529"/>
            <w:r>
              <w:rPr>
                <w:rFonts w:ascii="Times New Roman;Times;Serif" w:hAnsi="Times New Roman;Times;Serif"/>
                <w:b w:val="false"/>
                <w:i w:val="false"/>
                <w:caps w:val="false"/>
                <w:smallCaps w:val="false"/>
                <w:sz w:val="20"/>
              </w:rPr>
              <w:t>6,000,000 to $</w:t>
            </w:r>
            <w:bookmarkStart w:id="1530" w:name="xdx_90B_eus-gaap--LineOfCreditFacilityMa"/>
            <w:bookmarkEnd w:id="1530"/>
            <w:r>
              <w:rPr>
                <w:rFonts w:ascii="Times New Roman;Times;Serif" w:hAnsi="Times New Roman;Times;Serif"/>
                <w:b w:val="false"/>
                <w:i w:val="false"/>
                <w:caps w:val="false"/>
                <w:smallCaps w:val="false"/>
                <w:sz w:val="20"/>
              </w:rPr>
              <w:t>5,000,000, with the Company pledging an additional $</w:t>
            </w:r>
            <w:bookmarkStart w:id="1531" w:name="xdx_90D_eus-gaap--SecuredDebt_iI_c202601"/>
            <w:bookmarkEnd w:id="1531"/>
            <w:r>
              <w:rPr>
                <w:rFonts w:ascii="Times New Roman;Times;Serif" w:hAnsi="Times New Roman;Times;Serif"/>
                <w:b w:val="false"/>
                <w:i w:val="false"/>
                <w:caps w:val="false"/>
                <w:smallCaps w:val="false"/>
                <w:sz w:val="20"/>
              </w:rPr>
              <w:t>1,000,000 time certificate of deposit.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received $</w:t>
            </w:r>
            <w:bookmarkStart w:id="1532" w:name="xdx_906_eus-gaap--IncomeTaxExaminationIn"/>
            <w:bookmarkEnd w:id="1532"/>
            <w:r>
              <w:rPr>
                <w:rFonts w:ascii="Times New Roman;Times;Serif" w:hAnsi="Times New Roman;Times;Serif"/>
                <w:b w:val="false"/>
                <w:i w:val="false"/>
                <w:caps w:val="false"/>
                <w:smallCaps w:val="false"/>
                <w:sz w:val="20"/>
              </w:rPr>
              <w:t>4.5 million refund from the Internal Revenue Service (“IRS”) related to the carryback of the Company’s 2022 net operating loss to the 2016 tax year, of which $</w:t>
            </w:r>
            <w:bookmarkStart w:id="1533" w:name="xdx_903_eus-gaap--IncomeTaxExaminationIn"/>
            <w:bookmarkEnd w:id="1533"/>
            <w:r>
              <w:rPr>
                <w:rFonts w:ascii="Times New Roman;Times;Serif" w:hAnsi="Times New Roman;Times;Serif"/>
                <w:b w:val="false"/>
                <w:i w:val="false"/>
                <w:caps w:val="false"/>
                <w:smallCaps w:val="false"/>
                <w:sz w:val="20"/>
              </w:rPr>
              <w:t>759,580 represents interest income. The interest income was included in interest income as of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made a final payment related to the February 2025 Convertible Note issued in February 2025. As a result of this payment, all amounts due under this note were fully satisfied and the convertible note was extinguished.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entered into an amendment of its 2021 Revolving Loan, extending the revolving maturity date to March 31, 2027. Under the terms of the amendment, the 2021 Revolving Loan will convert to a term loan on March 31, 2027. The entire principal balance, plus all accrued and unpaid interest, will be due and payable on March 31, 2030.</w:t>
            </w:r>
          </w:p>
        </w:tc>
      </w:tr>
    </w:tbl>
    <w:p>
      <w:pPr>
        <w:pStyle w:val="TextBody"/>
        <w:bidi w:val="0"/>
        <w:spacing w:before="0" w:after="0"/>
        <w:ind w:left="0" w:right="0" w:hanging="0"/>
        <w:jc w:val="left"/>
        <w:rPr>
          <w:caps w:val="false"/>
          <w:smallCaps w:val="false"/>
        </w:rPr>
      </w:pPr>
      <w:bookmarkStart w:id="1534" w:name="xdx_81F_zPDzQxlIFQP3"/>
      <w:bookmarkEnd w:id="153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35" w:name="HK_001"/>
      <w:bookmarkEnd w:id="153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36" w:name="HK_002"/>
      <w:bookmarkEnd w:id="1536"/>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 13a-15(e) under the Exchange Act) that are designed to ensure that information required to be disclosed in our reports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December 31, 2025. Based on this evaluation, our Company’s Chief Executive Officer and Chief Financial Officer have concluded that our disclosure controls and procedures were effective as of such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for our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financial statements; because of its inherent limitations, internal control over financial reporting is not intended to provide absolute assurance that a misstatement of our financial statements would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management, including the persons serving as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(“COSO”). Based on this evaluation, management has concluded that our internal control over financial reporting was effective as of December 31,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of Prior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in our Annual Report on Form 10-K, for the year ended December 31, 2024, we identified material weaknesses in our internal control over financial reporting. The material weakness related to the failure to properly value the fair value of warrants related to the convertible notes and equity line of credit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Specifically, we did not have an adequate review process in place to validate the inputs and assumptions used in the valuation of complex financial instruments, leading to a potential material misstatement in the financial statements. We relied heavily on external valuation reports without a formalized internal process to validate the underlying inputs, assumptions and methodologies.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remediate this material weakness management designed and implemented comprehensive remediation efforts, which included: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Engagement of qualified experts – we formally engaged a qualified expert for recurring fair value measurements that has the requisite qualifications and team.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Strengthened management review – we implemented a structured review process requiring the Director of Finance and Chief Financial Officer to validate valuation inputs and outputs. Valuation reports provided by our valuation specialist are reviewed and validated by management.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review controls over valuation reports – we implemented additional corroborative review procedures over third-party valuation reports. The Director of Finance prepares, and the Chief Financial Officer reviews, supplemental workbooks documenting (i) management’s validation of significant inputs and assumptions, and (ii) independent recalculations of fair value estimates when feasible. These procedures enhance oversight and support the reasonableness of valuation conclusions.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implementation of comprehensive remediation efforts, we have addressed the material weakness related to the valuation of warrant liabilities. The newly implemented controls and the engagement of qualified third party experts have been operated effectively. Based on managements evaluation of the design and operating effectiveness of the enhanced controls, including operation over multiple reporting periods, management believes the material weakness related to the valuation of warrant liabilities has been remediated as of December 31, 2025, and its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efforts described above, we have not made changes in our internal control over financial reporting (as defined in Rules 13a-15(f) and 15d-15(f) under the Exchange Act) during the year ended December 31, 2025, which have materially affected, or are reasonably likely to materially affect, our internal control over financial reporting other than the remediation efforts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Attestation 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independent public accounting firm regarding internal control over financial reporting due to the Company’s status as a non-accelerated filer and the exemption established by the JOBS Act for “emerging growth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37" w:name="HK_003"/>
      <w:bookmarkEnd w:id="1537"/>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twelve months ended December 31, 2025, none of our directors or officers has </w:t>
      </w:r>
      <w:bookmarkStart w:id="1538" w:name="xdx_90D_eecd--NonRule10b51ArrAdoptedFlag"/>
      <w:bookmarkStart w:id="1539" w:name="xdx_900_eecd--Rule10b51ArrAdoptedFlag_db"/>
      <w:bookmarkEnd w:id="1538"/>
      <w:bookmarkEnd w:id="1539"/>
      <w:r>
        <w:rPr>
          <w:rFonts w:ascii="Times New Roman;Times;Serif" w:hAnsi="Times New Roman;Times;Serif"/>
          <w:b w:val="false"/>
          <w:i w:val="false"/>
          <w:caps w:val="false"/>
          <w:smallCaps w:val="false"/>
          <w:sz w:val="20"/>
        </w:rPr>
        <w:t xml:space="preserve">adopted or </w:t>
      </w:r>
      <w:bookmarkStart w:id="1540" w:name="xdx_90F_eecd--NonRule10b51ArrTrmntdFlag_"/>
      <w:bookmarkStart w:id="1541" w:name="xdx_909_eecd--Rule10b51ArrTrmntdFlag_dbF"/>
      <w:bookmarkEnd w:id="1540"/>
      <w:bookmarkEnd w:id="1541"/>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2" w:name="HK_004"/>
      <w:bookmarkEnd w:id="1542"/>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43" w:name="HK_005"/>
      <w:bookmarkEnd w:id="1543"/>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4" w:name="HK_006"/>
      <w:bookmarkEnd w:id="1544"/>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 information required by this item will be incorporated by reference from our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written code of business conduct and ethics (the “Code”) which applies to all of our directors, officers, and employees, including our Chief Executive Officer and Chief Financial Officer. The Code is available on our website, </w:t>
      </w:r>
      <w:r>
        <w:rPr>
          <w:rFonts w:ascii="Times New Roman;Times;Serif" w:hAnsi="Times New Roman;Times;Serif"/>
          <w:b w:val="false"/>
          <w:i/>
          <w:caps w:val="false"/>
          <w:smallCaps w:val="false"/>
          <w:sz w:val="20"/>
        </w:rPr>
        <w:t>www.snail.com (under the tab entitled “Investor—Corporate Governance”</w:t>
      </w:r>
      <w:r>
        <w:rPr>
          <w:rFonts w:ascii="Times New Roman;Times;Serif" w:hAnsi="Times New Roman;Times;Serif"/>
          <w:b w:val="false"/>
          <w:i w:val="false"/>
          <w:caps w:val="false"/>
          <w:smallCaps w:val="false"/>
          <w:sz w:val="20"/>
        </w:rPr>
        <w:t>). Any waiver of the provisions in the Code for our executive officers or directors may only be granted by our Board of Directors and will be posted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an insider trading policy which governs the purchase, sale and/or other dispositions of our securities by our directors, executive officers and employees that we believe is reasonably designed to promote compliance with insider trading laws, rules and regulations, and the exchange listing standards applicable to us. A copy of our insider trading policy is filed as Exhibit 19.1 to this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5" w:name="HK_007"/>
      <w:bookmarkEnd w:id="1545"/>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incorporated by reference from our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6" w:name="HK_008"/>
      <w:bookmarkEnd w:id="1546"/>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incorporated by reference from our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7" w:name="HK_009"/>
      <w:bookmarkEnd w:id="154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incorporated by reference from our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8" w:name="HK_010"/>
      <w:bookmarkEnd w:id="1548"/>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will be incorporated by reference from our Proxy Statement.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49" w:name="HK_011"/>
      <w:bookmarkEnd w:id="1549"/>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50" w:name="HK_012"/>
      <w:bookmarkEnd w:id="1550"/>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For a list of the financial statements included herein, see Index to the Consolidated Financial Statements in “Item 8. Financial Statements and Supplementary Data.”</w:t>
            </w:r>
          </w:p>
        </w:tc>
      </w:tr>
      <w:tr>
        <w:trPr/>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100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 All schedules have been omitted because they are not required or because the required information is given in the consolidated financial statements or notes thereto.</w:t>
            </w:r>
          </w:p>
        </w:tc>
      </w:tr>
      <w:tr>
        <w:trPr/>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100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The exhibits listed in the accompanying index to exhibits are filed or incorporated by reference as part of this Annual Report on Form 10-K.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062"/>
        <w:gridCol w:w="60"/>
        <w:gridCol w:w="500"/>
        <w:gridCol w:w="60"/>
        <w:gridCol w:w="790"/>
        <w:gridCol w:w="60"/>
        <w:gridCol w:w="650"/>
        <w:gridCol w:w="60"/>
        <w:gridCol w:w="1178"/>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9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At The Market Offering Agreement, dated August 7, 2025, by and between Snail, Inc. and H.C. Wainwright &amp; Co., LLC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Amended and Restated Certificate of Incorporation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Amended and Restated Bylaws of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Form of Certificate of Class A Common Stock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Form of Underwriters’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Description of the Registrant’s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Form of Equity Line Warrant, dated August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Form of Original Issue 7.4% Discount Convertible Promissory Note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Form of Indenture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0"/>
                </w:rPr>
                <w:t>Form of Convertible Promissory Notes, dated February 21,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0"/>
                </w:rPr>
                <w:t>Form of Convertible Promissory Notes, dated October 24,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5">
              <w:r>
                <w:rPr>
                  <w:rStyle w:val="InternetLink"/>
                  <w:rFonts w:ascii="Times New Roman;Times;Serif" w:hAnsi="Times New Roman;Times;Serif"/>
                  <w:b w:val="false"/>
                  <w:i w:val="false"/>
                  <w:caps w:val="false"/>
                  <w:smallCaps w:val="false"/>
                  <w:sz w:val="20"/>
                </w:rPr>
                <w:t>Form of Convertible Promissory Note, dated November 26,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 2025</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6">
              <w:r>
                <w:rPr>
                  <w:rStyle w:val="InternetLink"/>
                  <w:rFonts w:ascii="Times New Roman;Times;Serif" w:hAnsi="Times New Roman;Times;Serif"/>
                  <w:b w:val="false"/>
                  <w:i w:val="false"/>
                  <w:caps w:val="false"/>
                  <w:smallCaps w:val="false"/>
                  <w:sz w:val="20"/>
                </w:rPr>
                <w:t>Amended and Restated Exclusive Software License Agreement, effective as of January 1, 2022, by and between Snail Games USA, Inc. and SDE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Amendment No. 1 to Amended and Restated Exclusive Software License Agreement, effective as of December 13, 2022, by and between Snail Games USA, Inc. and SDE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15,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Exclusive License Agreement, effective as of April 27, 2022, by and between Snail Games USA, Inc. and SDE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Snail, Inc. 2022 Omnibus Incentive Plan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26,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283"/>
              <w:jc w:val="left"/>
              <w:rPr/>
            </w:pPr>
            <w:hyperlink r:id="rId20">
              <w:r>
                <w:rPr>
                  <w:rStyle w:val="InternetLink"/>
                  <w:rFonts w:ascii="Times New Roman;Times;Serif" w:hAnsi="Times New Roman;Times;Serif"/>
                  <w:b w:val="false"/>
                  <w:i w:val="false"/>
                  <w:caps w:val="false"/>
                  <w:smallCaps w:val="false"/>
                  <w:sz w:val="20"/>
                </w:rPr>
                <w:t>Form of Restricted Stock Unit Award Agreement (Employee) pursuant to the Snail, Inc. Omnibus Incentive Plan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2" w:type="dxa"/>
            <w:tcBorders/>
            <w:shd w:fill="CCEEFF" w:val="clear"/>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Restricted Stock Unit Award Agreement (Non-Employee Director) pursuant to the Snail, Inc. Omnibus Incentive Plan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
        <w:gridCol w:w="60"/>
        <w:gridCol w:w="6571"/>
        <w:gridCol w:w="60"/>
        <w:gridCol w:w="360"/>
        <w:gridCol w:w="60"/>
        <w:gridCol w:w="785"/>
        <w:gridCol w:w="60"/>
        <w:gridCol w:w="485"/>
        <w:gridCol w:w="60"/>
        <w:gridCol w:w="1167"/>
      </w:tblGrid>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Form of Indemnification Agreement between Snail, Inc. and Its Directors and Officers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3">
              <w:r>
                <w:rPr>
                  <w:rStyle w:val="InternetLink"/>
                  <w:rFonts w:ascii="Times New Roman;Times;Serif" w:hAnsi="Times New Roman;Times;Serif"/>
                  <w:b w:val="false"/>
                  <w:i w:val="false"/>
                  <w:caps w:val="false"/>
                  <w:smallCaps w:val="false"/>
                  <w:sz w:val="20"/>
                </w:rPr>
                <w:t>Second Amended and Restated Revolving Loan and Security Agreement, dated as of January 26, 2022, by and between Snail Games USA, Inc. and Cathay Bank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Promissory Note, dated January 26, 2022, by and between Snail Games USA, Inc. and Cathay Bank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5">
              <w:r>
                <w:rPr>
                  <w:rStyle w:val="InternetLink"/>
                  <w:rFonts w:ascii="Times New Roman;Times;Serif" w:hAnsi="Times New Roman;Times;Serif"/>
                  <w:b w:val="false"/>
                  <w:i w:val="false"/>
                  <w:caps w:val="false"/>
                  <w:smallCaps w:val="false"/>
                  <w:sz w:val="20"/>
                </w:rPr>
                <w:t>Form of Independent Director Agreement between Snail, Inc. and each of Its Independent Directors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6">
              <w:r>
                <w:rPr>
                  <w:rStyle w:val="InternetLink"/>
                  <w:rFonts w:ascii="Times New Roman;Times;Serif" w:hAnsi="Times New Roman;Times;Serif"/>
                  <w:b w:val="false"/>
                  <w:i w:val="false"/>
                  <w:caps w:val="false"/>
                  <w:smallCaps w:val="false"/>
                  <w:sz w:val="20"/>
                </w:rPr>
                <w:t>Form of Securities Exchange Agreement by and among Snail, Inc. and each Securityholder of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17,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7">
              <w:r>
                <w:rPr>
                  <w:rStyle w:val="InternetLink"/>
                  <w:rFonts w:ascii="Times New Roman;Times;Serif" w:hAnsi="Times New Roman;Times;Serif"/>
                  <w:b w:val="false"/>
                  <w:i w:val="false"/>
                  <w:caps w:val="false"/>
                  <w:smallCaps w:val="false"/>
                  <w:sz w:val="20"/>
                </w:rPr>
                <w:t>Loan Agreement, dated as of June 17, 2021, by and between Snail Games USA, Inc. and Cathay Bank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8">
              <w:r>
                <w:rPr>
                  <w:rStyle w:val="InternetLink"/>
                  <w:rFonts w:ascii="Times New Roman;Times;Serif" w:hAnsi="Times New Roman;Times;Serif"/>
                  <w:b w:val="false"/>
                  <w:i w:val="false"/>
                  <w:caps w:val="false"/>
                  <w:smallCaps w:val="false"/>
                  <w:sz w:val="20"/>
                </w:rPr>
                <w:t>Offer Letter, dated as of August 31, 2020, between Jim S. Tsai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29">
              <w:r>
                <w:rPr>
                  <w:rStyle w:val="InternetLink"/>
                  <w:rFonts w:ascii="Times New Roman;Times;Serif" w:hAnsi="Times New Roman;Times;Serif"/>
                  <w:b w:val="false"/>
                  <w:i w:val="false"/>
                  <w:caps w:val="false"/>
                  <w:smallCaps w:val="false"/>
                  <w:sz w:val="20"/>
                </w:rPr>
                <w:t>Amendment, effective as of November 1, 2021, to Offer Letter between Jim S. Tsai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0">
              <w:r>
                <w:rPr>
                  <w:rStyle w:val="InternetLink"/>
                  <w:rFonts w:ascii="Times New Roman;Times;Serif" w:hAnsi="Times New Roman;Times;Serif"/>
                  <w:b w:val="false"/>
                  <w:i w:val="false"/>
                  <w:caps w:val="false"/>
                  <w:smallCaps w:val="false"/>
                  <w:sz w:val="20"/>
                </w:rPr>
                <w:t>Offer Letter, dated as of August 18, 2020, between Heidy Chow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1">
              <w:r>
                <w:rPr>
                  <w:rStyle w:val="InternetLink"/>
                  <w:rFonts w:ascii="Times New Roman;Times;Serif" w:hAnsi="Times New Roman;Times;Serif"/>
                  <w:b w:val="false"/>
                  <w:i w:val="false"/>
                  <w:caps w:val="false"/>
                  <w:smallCaps w:val="false"/>
                  <w:sz w:val="20"/>
                </w:rPr>
                <w:t>Employment Agreement, dated as of December 10, 2012, between Peter Kang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2">
              <w:r>
                <w:rPr>
                  <w:rStyle w:val="InternetLink"/>
                  <w:rFonts w:ascii="Times New Roman;Times;Serif" w:hAnsi="Times New Roman;Times;Serif"/>
                  <w:b w:val="false"/>
                  <w:i w:val="false"/>
                  <w:caps w:val="false"/>
                  <w:smallCaps w:val="false"/>
                  <w:sz w:val="20"/>
                </w:rPr>
                <w:t>Amendment, effective as of December 1, 2021, to Employment Agreement between Peter Kang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333-267483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16, 2022</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3">
              <w:r>
                <w:rPr>
                  <w:rStyle w:val="InternetLink"/>
                  <w:rFonts w:ascii="Times New Roman;Times;Serif" w:hAnsi="Times New Roman;Times;Serif"/>
                  <w:b w:val="false"/>
                  <w:i w:val="false"/>
                  <w:caps w:val="false"/>
                  <w:smallCaps w:val="false"/>
                  <w:sz w:val="20"/>
                </w:rPr>
                <w:t>Offer Letter, dated as of March 27, 2023, between Hai Shi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4">
              <w:r>
                <w:rPr>
                  <w:rStyle w:val="InternetLink"/>
                  <w:rFonts w:ascii="Times New Roman;Times;Serif" w:hAnsi="Times New Roman;Times;Serif"/>
                  <w:b w:val="false"/>
                  <w:i w:val="false"/>
                  <w:caps w:val="false"/>
                  <w:smallCaps w:val="false"/>
                  <w:sz w:val="20"/>
                </w:rPr>
                <w:t>First Amendment to Amended and Restated Exclusive Software License Agreement, effective as of March 10, 2023, between SDE Inc.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29,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5">
              <w:r>
                <w:rPr>
                  <w:rStyle w:val="InternetLink"/>
                  <w:rFonts w:ascii="Times New Roman;Times;Serif" w:hAnsi="Times New Roman;Times;Serif"/>
                  <w:b w:val="false"/>
                  <w:i w:val="false"/>
                  <w:caps w:val="false"/>
                  <w:smallCaps w:val="false"/>
                  <w:sz w:val="20"/>
                </w:rPr>
                <w:t>Cooperation Agreement between Snail Games USA, Inc. and Marbis GmbH, dated July 26,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6">
              <w:r>
                <w:rPr>
                  <w:rStyle w:val="InternetLink"/>
                  <w:rFonts w:ascii="Times New Roman;Times;Serif" w:hAnsi="Times New Roman;Times;Serif"/>
                  <w:b w:val="false"/>
                  <w:i w:val="false"/>
                  <w:caps w:val="false"/>
                  <w:smallCaps w:val="false"/>
                  <w:sz w:val="20"/>
                </w:rPr>
                <w:t>Form of Securities Purchase Agreement, dated August 24,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7">
              <w:r>
                <w:rPr>
                  <w:rStyle w:val="InternetLink"/>
                  <w:rFonts w:ascii="Times New Roman;Times;Serif" w:hAnsi="Times New Roman;Times;Serif"/>
                  <w:b w:val="false"/>
                  <w:i w:val="false"/>
                  <w:caps w:val="false"/>
                  <w:smallCaps w:val="false"/>
                  <w:sz w:val="20"/>
                </w:rPr>
                <w:t>Form of Registration Rights Agreement, dated August 24,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8">
              <w:r>
                <w:rPr>
                  <w:rStyle w:val="InternetLink"/>
                  <w:rFonts w:ascii="Times New Roman;Times;Serif" w:hAnsi="Times New Roman;Times;Serif"/>
                  <w:b w:val="false"/>
                  <w:i w:val="false"/>
                  <w:caps w:val="false"/>
                  <w:smallCaps w:val="false"/>
                  <w:sz w:val="20"/>
                </w:rPr>
                <w:t>Form of Equity Line Purchase Agreement, dated August 24,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39">
              <w:r>
                <w:rPr>
                  <w:rStyle w:val="InternetLink"/>
                  <w:rFonts w:ascii="Times New Roman;Times;Serif" w:hAnsi="Times New Roman;Times;Serif"/>
                  <w:b w:val="false"/>
                  <w:i w:val="false"/>
                  <w:caps w:val="false"/>
                  <w:smallCaps w:val="false"/>
                  <w:sz w:val="20"/>
                </w:rPr>
                <w:t>Independent Director Agreement, effective as of November 10, 2023, between Ryan Jamieson and Snail,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16, 2023</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0">
              <w:r>
                <w:rPr>
                  <w:rStyle w:val="InternetLink"/>
                  <w:rFonts w:ascii="Times New Roman;Times;Serif" w:hAnsi="Times New Roman;Times;Serif"/>
                  <w:b w:val="false"/>
                  <w:i w:val="false"/>
                  <w:caps w:val="false"/>
                  <w:smallCaps w:val="false"/>
                  <w:sz w:val="20"/>
                </w:rPr>
                <w:t>Offer Letter, dated as of April 15, 2024, between Xuedong (Tony) Tian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2024</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1">
              <w:r>
                <w:rPr>
                  <w:rStyle w:val="InternetLink"/>
                  <w:rFonts w:ascii="Times New Roman;Times;Serif" w:hAnsi="Times New Roman;Times;Serif"/>
                  <w:b w:val="false"/>
                  <w:i w:val="false"/>
                  <w:caps w:val="false"/>
                  <w:smallCaps w:val="false"/>
                  <w:sz w:val="20"/>
                </w:rPr>
                <w:t>Form of Securities Purchase Agreements, dated February 21,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2">
              <w:r>
                <w:rPr>
                  <w:rStyle w:val="InternetLink"/>
                  <w:rFonts w:ascii="Times New Roman;Times;Serif" w:hAnsi="Times New Roman;Times;Serif"/>
                  <w:b w:val="false"/>
                  <w:i w:val="false"/>
                  <w:caps w:val="false"/>
                  <w:smallCaps w:val="false"/>
                  <w:sz w:val="20"/>
                </w:rPr>
                <w:t>Form of Registration Rights Agreements, dated February 21,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3">
              <w:r>
                <w:rPr>
                  <w:rStyle w:val="InternetLink"/>
                  <w:rFonts w:ascii="Times New Roman;Times;Serif" w:hAnsi="Times New Roman;Times;Serif"/>
                  <w:b w:val="false"/>
                  <w:i w:val="false"/>
                  <w:caps w:val="false"/>
                  <w:smallCaps w:val="false"/>
                  <w:sz w:val="20"/>
                </w:rPr>
                <w:t>At The Market Offering Agreement, dated August 7, 2025, by and between Snail, Inc. and H.C. Wainwright &amp; Co., LLC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4">
              <w:r>
                <w:rPr>
                  <w:rStyle w:val="InternetLink"/>
                  <w:rFonts w:ascii="Times New Roman;Times;Serif" w:hAnsi="Times New Roman;Times;Serif"/>
                  <w:b w:val="false"/>
                  <w:i w:val="false"/>
                  <w:caps w:val="false"/>
                  <w:smallCaps w:val="false"/>
                  <w:sz w:val="20"/>
                </w:rPr>
                <w:t>Amendment No. 1, dated October 10, 2025, to Offer Letter, dated March 27, 2023, by and between Snail Games USA, Inc. and Hai Shi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5">
              <w:r>
                <w:rPr>
                  <w:rStyle w:val="InternetLink"/>
                  <w:rFonts w:ascii="Times New Roman;Times;Serif" w:hAnsi="Times New Roman;Times;Serif"/>
                  <w:b w:val="false"/>
                  <w:i w:val="false"/>
                  <w:caps w:val="false"/>
                  <w:smallCaps w:val="false"/>
                  <w:sz w:val="20"/>
                </w:rPr>
                <w:t>Amendment No. 1, dated October 10, 2025, to Offer Letter, dated August 18, 2020, by and between Snail Games USA, Inc. and Heidy Chow</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6">
              <w:r>
                <w:rPr>
                  <w:rStyle w:val="InternetLink"/>
                  <w:rFonts w:ascii="Times New Roman;Times;Serif" w:hAnsi="Times New Roman;Times;Serif"/>
                  <w:b w:val="false"/>
                  <w:i w:val="false"/>
                  <w:caps w:val="false"/>
                  <w:smallCaps w:val="false"/>
                  <w:sz w:val="20"/>
                </w:rPr>
                <w:t>Amendment No. 2, dated October 10, 2025, to Employment Agreement, dated as of December 10, 2012, as amended, effective December 1, 2021, entered into Snail Games USA, Inc. and Peter Kang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7">
              <w:r>
                <w:rPr>
                  <w:rStyle w:val="InternetLink"/>
                  <w:rFonts w:ascii="Times New Roman;Times;Serif" w:hAnsi="Times New Roman;Times;Serif"/>
                  <w:b w:val="false"/>
                  <w:i w:val="false"/>
                  <w:caps w:val="false"/>
                  <w:smallCaps w:val="false"/>
                  <w:sz w:val="20"/>
                </w:rPr>
                <w:t>Form of Securities Purchase Agreement, dated October 24, 2025, by and between Snail, Inc. and CROM Structured Opportunities Fund I, LP</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8">
              <w:r>
                <w:rPr>
                  <w:rStyle w:val="InternetLink"/>
                  <w:rFonts w:ascii="Times New Roman;Times;Serif" w:hAnsi="Times New Roman;Times;Serif"/>
                  <w:b w:val="false"/>
                  <w:i w:val="false"/>
                  <w:caps w:val="false"/>
                  <w:smallCaps w:val="false"/>
                  <w:sz w:val="20"/>
                </w:rPr>
                <w:t>Form of Registration Rights Agreement, dated October 24, 2025, by and between Snail, Inc. and CROM Structured Opportunities Fund I, LP</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30,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49">
              <w:r>
                <w:rPr>
                  <w:rStyle w:val="InternetLink"/>
                  <w:rFonts w:ascii="Times New Roman;Times;Serif" w:hAnsi="Times New Roman;Times;Serif"/>
                  <w:b w:val="false"/>
                  <w:i w:val="false"/>
                  <w:caps w:val="false"/>
                  <w:smallCaps w:val="false"/>
                  <w:sz w:val="20"/>
                </w:rPr>
                <w:t>Form of Securities Purchase Agreement, dated November 26, 2025, by and between Snail, Inc. and Monroe Street Capital Partners, LP</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50">
              <w:r>
                <w:rPr>
                  <w:rStyle w:val="InternetLink"/>
                  <w:rFonts w:ascii="Times New Roman;Times;Serif" w:hAnsi="Times New Roman;Times;Serif"/>
                  <w:b w:val="false"/>
                  <w:i w:val="false"/>
                  <w:caps w:val="false"/>
                  <w:smallCaps w:val="false"/>
                  <w:sz w:val="20"/>
                </w:rPr>
                <w:t>Form of Registration Rights Agreement, dated November 26, 2025, by and between Snail, Inc. and Monroe Street Capital Partners, LP</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both"/>
              <w:rPr/>
            </w:pPr>
            <w:hyperlink w:anchor="ex10-36.htm">
              <w:r>
                <w:rPr>
                  <w:rStyle w:val="InternetLink"/>
                  <w:rFonts w:ascii="Times New Roman;Times;Serif" w:hAnsi="Times New Roman;Times;Serif"/>
                  <w:b w:val="false"/>
                  <w:i w:val="false"/>
                  <w:caps w:val="false"/>
                  <w:smallCaps w:val="false"/>
                  <w:sz w:val="20"/>
                </w:rPr>
                <w:t>Fourth Amendment to Loan Documents, dated January 2, 2026, by and between Snail Games USA, Inc., Hai Shi, Ying Zhou and Cathay Bank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both"/>
              <w:rPr/>
            </w:pPr>
            <w:hyperlink w:anchor="ex10-37.htm">
              <w:r>
                <w:rPr>
                  <w:rStyle w:val="InternetLink"/>
                  <w:rFonts w:ascii="Times New Roman;Times;Serif" w:hAnsi="Times New Roman;Times;Serif"/>
                  <w:b w:val="false"/>
                  <w:i w:val="false"/>
                  <w:caps w:val="false"/>
                  <w:smallCaps w:val="false"/>
                  <w:sz w:val="20"/>
                </w:rPr>
                <w:t>Amendment No. 2 to Amended and Restated Exclusive Software License Agreement, dated October 1, 2023, by and between SDE, Inc.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both"/>
              <w:rPr/>
            </w:pPr>
            <w:hyperlink w:anchor="ex10-38.htm">
              <w:r>
                <w:rPr>
                  <w:rStyle w:val="InternetLink"/>
                  <w:rFonts w:ascii="Times New Roman;Times;Serif" w:hAnsi="Times New Roman;Times;Serif"/>
                  <w:b w:val="false"/>
                  <w:i w:val="false"/>
                  <w:caps w:val="false"/>
                  <w:smallCaps w:val="false"/>
                  <w:sz w:val="20"/>
                </w:rPr>
                <w:t>Offset Agreement, dated January 18, 2024, between SDE, Inc and Snail Games USA,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both"/>
              <w:rPr/>
            </w:pPr>
            <w:hyperlink w:anchor="ex10-39.htm">
              <w:r>
                <w:rPr>
                  <w:rStyle w:val="InternetLink"/>
                  <w:rFonts w:ascii="Times New Roman;Times;Serif" w:hAnsi="Times New Roman;Times;Serif"/>
                  <w:b w:val="false"/>
                  <w:i w:val="false"/>
                  <w:caps w:val="false"/>
                  <w:smallCaps w:val="false"/>
                  <w:sz w:val="20"/>
                </w:rPr>
                <w:t>Fifth Amendment to Loan Documents, dated March 16, 2026, by and between Snail Games USA Inc., Hai Shi, Ying Zhou and Cathay Bank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r:id="rId51">
              <w:r>
                <w:rPr>
                  <w:rStyle w:val="InternetLink"/>
                  <w:rFonts w:ascii="Times New Roman;Times;Serif" w:hAnsi="Times New Roman;Times;Serif"/>
                  <w:b w:val="false"/>
                  <w:i w:val="false"/>
                  <w:caps w:val="false"/>
                  <w:smallCaps w:val="false"/>
                  <w:sz w:val="20"/>
                </w:rPr>
                <w:t>Insider Trading Policy, dated November 9, 2022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001-41556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2025</w:t>
            </w:r>
          </w:p>
        </w:tc>
      </w:tr>
      <w:tr>
        <w:trPr/>
        <w:tc>
          <w:tcPr>
            <w:tcW w:w="5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71" w:type="dxa"/>
            <w:tcBorders/>
            <w:shd w:fill="CCEEFF" w:val="clear"/>
            <w:vAlign w:val="center"/>
          </w:tcPr>
          <w:p>
            <w:pPr>
              <w:pStyle w:val="TableContents"/>
              <w:bidi w:val="0"/>
              <w:spacing w:before="0" w:after="283"/>
              <w:jc w:val="left"/>
              <w:rPr/>
            </w:pPr>
            <w:hyperlink w:anchor="ex21-1.htm">
              <w:r>
                <w:rPr>
                  <w:rStyle w:val="InternetLink"/>
                  <w:rFonts w:ascii="Times New Roman;Times;Serif" w:hAnsi="Times New Roman;Times;Serif"/>
                  <w:b w:val="false"/>
                  <w:i w:val="false"/>
                  <w:caps w:val="false"/>
                  <w:smallCaps w:val="false"/>
                  <w:sz w:val="20"/>
                </w:rPr>
                <w:t>Subsidiaries of the Registrant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
        <w:gridCol w:w="60"/>
        <w:gridCol w:w="7179"/>
        <w:gridCol w:w="60"/>
        <w:gridCol w:w="342"/>
        <w:gridCol w:w="60"/>
        <w:gridCol w:w="708"/>
        <w:gridCol w:w="60"/>
        <w:gridCol w:w="380"/>
        <w:gridCol w:w="60"/>
        <w:gridCol w:w="731"/>
      </w:tblGrid>
      <w:tr>
        <w:trPr/>
        <w:tc>
          <w:tcPr>
            <w:tcW w:w="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P.C.,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Snail, Inc. Compensation Recovery Policy, adopted November 30,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001-41556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1, 2024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Schema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Calculation Linkbase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Definition Linkbase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Label Linkbase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Presentation Linkbase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being furnished solely to accompany this Annual Report on Form 10-K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55"/>
        <w:gridCol w:w="4400"/>
      </w:tblGrid>
      <w:tr>
        <w:trPr/>
        <w:tc>
          <w:tcPr>
            <w:tcW w:w="155" w:type="dxa"/>
            <w:tcBorders/>
            <w:vAlign w:val="center"/>
          </w:tcPr>
          <w:p>
            <w:pPr>
              <w:pStyle w:val="TableContents"/>
              <w:bidi w:val="0"/>
              <w:spacing w:before="0" w:after="283"/>
              <w:jc w:val="both"/>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51" w:name="HK_014"/>
      <w:bookmarkEnd w:id="1551"/>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2" w:name="HK_013"/>
      <w:bookmarkEnd w:id="155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 in Culver City, California, on March 19, 2026</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515"/>
        <w:gridCol w:w="1310"/>
        <w:gridCol w:w="575"/>
        <w:gridCol w:w="2060"/>
      </w:tblGrid>
      <w:tr>
        <w:trPr/>
        <w:tc>
          <w:tcPr>
            <w:tcW w:w="18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6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8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 Shi</w:t>
            </w:r>
          </w:p>
        </w:tc>
      </w:tr>
      <w:tr>
        <w:trPr/>
        <w:tc>
          <w:tcPr>
            <w:tcW w:w="18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Hai Shi and Heidy Chow, and each of them, his or her true and lawful attorneys-in-fact and agents,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substitutes or substitute,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1934, this Annual Report on Form 10-K has been signed by the following persons on behalf of the registrant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334"/>
        <w:gridCol w:w="1784"/>
        <w:gridCol w:w="60"/>
        <w:gridCol w:w="6645"/>
        <w:gridCol w:w="60"/>
        <w:gridCol w:w="1322"/>
      </w:tblGrid>
      <w:tr>
        <w:trPr/>
        <w:tc>
          <w:tcPr>
            <w:tcW w:w="2118" w:type="dxa"/>
            <w:gridSpan w:val="2"/>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Strategy Officer and Chairman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Board (Principal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S. Tsai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S. Tsai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Kang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Director of Business Development and Operations and 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Kang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Ying Zhou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Ying Zhou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Neil Foster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Foster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Sandra Pundmann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Sandra Pundmann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8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Ryan Jamieson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tc>
      </w:tr>
      <w:tr>
        <w:trPr/>
        <w:tc>
          <w:tcPr>
            <w:tcW w:w="3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Jamieson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center"/>
        <w:rPr>
          <w:caps w:val="false"/>
          <w:smallCaps w:val="false"/>
        </w:rPr>
      </w:pPr>
      <w:bookmarkStart w:id="1553" w:name="ex10-36.htm"/>
      <w:bookmarkStart w:id="1554" w:name="ksex1036"/>
      <w:bookmarkEnd w:id="1553"/>
      <w:bookmarkEnd w:id="155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 LOAN DOCUMENTS</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LOAN DOCUMENTS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dated as of January 2, 2026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among SNAIL GAMES USA INC., a California corporation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HAI SHI, an individual (“</w:t>
      </w:r>
      <w:r>
        <w:rPr>
          <w:rFonts w:ascii="Times New Roman;Times;Serif" w:hAnsi="Times New Roman;Times;Serif"/>
          <w:b w:val="false"/>
          <w:i w:val="false"/>
          <w:caps w:val="false"/>
          <w:smallCaps w:val="false"/>
          <w:sz w:val="20"/>
          <w:u w:val="single"/>
        </w:rPr>
        <w:t>Shi</w:t>
      </w:r>
      <w:r>
        <w:rPr>
          <w:rFonts w:ascii="Times New Roman;Times;Serif" w:hAnsi="Times New Roman;Times;Serif"/>
          <w:b w:val="false"/>
          <w:i w:val="false"/>
          <w:caps w:val="false"/>
          <w:smallCaps w:val="false"/>
          <w:sz w:val="20"/>
        </w:rPr>
        <w:t>”), and YING ZHOU, an individual (“</w:t>
      </w:r>
      <w:r>
        <w:rPr>
          <w:rFonts w:ascii="Times New Roman;Times;Serif" w:hAnsi="Times New Roman;Times;Serif"/>
          <w:b w:val="false"/>
          <w:i w:val="false"/>
          <w:caps w:val="false"/>
          <w:smallCaps w:val="false"/>
          <w:sz w:val="20"/>
          <w:u w:val="single"/>
        </w:rPr>
        <w:t>Zhou</w:t>
      </w:r>
      <w:r>
        <w:rPr>
          <w:rFonts w:ascii="Times New Roman;Times;Serif" w:hAnsi="Times New Roman;Times;Serif"/>
          <w:b w:val="false"/>
          <w:i w:val="false"/>
          <w:caps w:val="false"/>
          <w:smallCaps w:val="false"/>
          <w:sz w:val="20"/>
        </w:rPr>
        <w:t>”, and together with Shi, individually and collectively,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on the one hand, and CATHAY BANK, a California banking corporation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has heretofore extended to Borrower (i) a term loan in the original principal amount of Ten Million and No/100 Dollars ($10,000,000.00) (the “</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and (ii) a revolving line of credit in the maximum principal amount of Six Million and No/100 Dollars ($6,000,000.00) (the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and together with the Term Loan, individually and collectively, the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is the current holder of, without limitation, the following documents evidencing and/or securing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 Amended and Restated Loan and Security Agreement dated June 21, 2023, executed by Borrower and Lender (together with any and all amendments thereto or modifications thereof,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which Loan Agreement amended and restated in its entirety that certain Second Amended and Restated Revolving Loan and Security Agreement dated as of January 26, 2022 executed by and between Borrower and Lender, and which Loan Agreement granted to Lender a security interest in the Collateral (as defined in the Loan Agreement) to secure Borrower’s obligations to Lender in connection with the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Promissory Note dated January 26, 2022, in the original principal amount of Ten Million and No/100 Dollars ($10,000,000.00), executed by Borrower in favor of Lender (together with any and all amendments thereto or modifications or extensions thereof, the “</w:t>
      </w:r>
      <w:r>
        <w:rPr>
          <w:rFonts w:ascii="Times New Roman;Times;Serif" w:hAnsi="Times New Roman;Times;Serif"/>
          <w:b w:val="false"/>
          <w:i w:val="false"/>
          <w:caps w:val="false"/>
          <w:smallCaps w:val="false"/>
          <w:sz w:val="20"/>
          <w:u w:val="single"/>
        </w:rPr>
        <w:t>Term Note</w:t>
      </w:r>
      <w:r>
        <w:rPr>
          <w:rFonts w:ascii="Times New Roman;Times;Serif" w:hAnsi="Times New Roman;Times;Serif"/>
          <w:b w:val="false"/>
          <w:i w:val="false"/>
          <w:caps w:val="false"/>
          <w:smallCaps w:val="false"/>
          <w:sz w:val="20"/>
        </w:rPr>
        <w:t>”), which Term Note evidences the Term Loan;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Second Amended and Restated Promissory Note dated June 21, 2023, in the maximum principal amount of Six Million and No/100 Dollars ($6,000,000.00), executed by Borrower in favor of Lender (together with any and all amendments thereto or modifications or extensions thereof, the “</w:t>
      </w:r>
      <w:r>
        <w:rPr>
          <w:rFonts w:ascii="Times New Roman;Times;Serif" w:hAnsi="Times New Roman;Times;Serif"/>
          <w:b w:val="false"/>
          <w:i w:val="false"/>
          <w:caps w:val="false"/>
          <w:smallCaps w:val="false"/>
          <w:sz w:val="20"/>
          <w:u w:val="single"/>
        </w:rPr>
        <w:t>Revolving Note</w:t>
      </w:r>
      <w:r>
        <w:rPr>
          <w:rFonts w:ascii="Times New Roman;Times;Serif" w:hAnsi="Times New Roman;Times;Serif"/>
          <w:b w:val="false"/>
          <w:i w:val="false"/>
          <w:caps w:val="false"/>
          <w:smallCaps w:val="false"/>
          <w:sz w:val="20"/>
        </w:rPr>
        <w:t>”, and together with the Term Note, individually and collectively,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which Revolving Note evidences the Revolving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order to induce Lender to make the Loan, each Guarantor executed and delivered to and in favor of Lender a Continuing Guaranty dated June 21, 2023 (together with any and all amendments thereto or modifications thereof, individually and collectively, the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Lender perfected its security interest in and to the Collateral by causing to be filed (i) a UCC-1 financing statement with the Secretary of State of California on October 8, 2018, as Filing No. 187674427824, and (ii) a UCC-1 financing statement with the Secretary of State of California on July 2, 2021, as Filing No. U210063023418. Lender has a first priority security interest in the Collateral that is duly perfected under applicable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Guarantor and Lender entered into that certain First Amendment to Loan Documents dated December 28, 2023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whereby, among other things, the Revolving Maturity Date of the Revolving Loan was extended to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Borrower, Guarantor and Lender entered into that certain Second Amendment to Loan Documents dated December 31, 2024 (“</w:t>
      </w:r>
      <w:r>
        <w:rPr>
          <w:rFonts w:ascii="Times New Roman;Times;Serif" w:hAnsi="Times New Roman;Times;Serif"/>
          <w:b w:val="false"/>
          <w:i w:val="false"/>
          <w:caps w:val="false"/>
          <w:smallCaps w:val="false"/>
          <w:sz w:val="20"/>
          <w:u w:val="single"/>
        </w:rPr>
        <w:t>Second Amendment</w:t>
      </w:r>
      <w:r>
        <w:rPr>
          <w:rFonts w:ascii="Times New Roman;Times;Serif" w:hAnsi="Times New Roman;Times;Serif"/>
          <w:b w:val="false"/>
          <w:i w:val="false"/>
          <w:caps w:val="false"/>
          <w:smallCaps w:val="false"/>
          <w:sz w:val="20"/>
        </w:rPr>
        <w:t>”), whereby, among other things, the Revolving Maturity Date of the Revolving Loan was extended to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Guarantor and Lender entered into that certain Third Amendment to Loan Documents dated June 10, 2025 (“</w:t>
      </w:r>
      <w:r>
        <w:rPr>
          <w:rFonts w:ascii="Times New Roman;Times;Serif" w:hAnsi="Times New Roman;Times;Serif"/>
          <w:b w:val="false"/>
          <w:i w:val="false"/>
          <w:caps w:val="false"/>
          <w:smallCaps w:val="false"/>
          <w:sz w:val="20"/>
          <w:u w:val="single"/>
        </w:rPr>
        <w:t>Third Amendment</w:t>
      </w:r>
      <w:r>
        <w:rPr>
          <w:rFonts w:ascii="Times New Roman;Times;Serif" w:hAnsi="Times New Roman;Times;Serif"/>
          <w:b w:val="false"/>
          <w:i w:val="false"/>
          <w:caps w:val="false"/>
          <w:smallCaps w:val="false"/>
          <w:sz w:val="20"/>
        </w:rPr>
        <w:t>”), whereby, among other things, (i)the end the Revolving Maturity Date of the Revolving Loan was extended to June 30, 2026, (ii) the interest rate applicable to the Revolving Loan was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Amendment, the Loan Agreement, the Note, the Guaranty, First Amendment, Second Amendment, Third Amendment, and any and all other documents executed or delivered in connection therewith or otherwise in connection with the Loan, together with any and all amendments thereto or modifications or extensions thereof, are at times hereafter referred to collectively as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Pursuant to Section 9.1(b) of the Loan Agreement, Borrower is, at all times during the term of the Loan, required to maintain a minimum Debt Service Coverage Ratio of 1.50 to 1.00, to be measured on a quarterly basis at the end of each calendar quarter ending March 31, June 30, September 30, and December 31. However, Borrower failed to satisfy the minimum Debt Service Coverage Ratio for the testing period ending on September 30, 2025, in violation of the terms and conditions of the Loan Agreement (the “</w:t>
      </w:r>
      <w:r>
        <w:rPr>
          <w:rFonts w:ascii="Times New Roman;Times;Serif" w:hAnsi="Times New Roman;Times;Serif"/>
          <w:b w:val="false"/>
          <w:i w:val="false"/>
          <w:caps w:val="false"/>
          <w:smallCaps w:val="false"/>
          <w:sz w:val="20"/>
          <w:u w:val="single"/>
        </w:rPr>
        <w:t>DSCR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Borrower and Guarantor have now requested that Lender agree to (i) waive the DSCR Default, (ii) decrease the maximum principal amount of the Revolving Loan, and (iii) make certain other modifications to the Loan Documents as more particularly set forth herein. Lender is willing to agree to said requests, subject to the terms and conditions set forth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the parties hereto do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 Definitions</w:t>
      </w:r>
      <w:r>
        <w:rPr>
          <w:rFonts w:ascii="Times New Roman;Times;Serif" w:hAnsi="Times New Roman;Times;Serif"/>
          <w:b w:val="false"/>
          <w:i w:val="false"/>
          <w:caps w:val="false"/>
          <w:smallCaps w:val="false"/>
          <w:sz w:val="20"/>
        </w:rPr>
        <w:t>. The recitals are incorporated herein by this reference as are all exhibits. Borrower and Guarantor agree and acknowledge that the factual information recited above is true and correct. Except as may be otherwise expressly defined in this Amendment, all terms used in this Amendment beginning with a capital letter shall have the meanings ascribed to them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Borrower and Guarantor Acknowledgment as to Obligations</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acknowledge and confirm that as of December 10, 2025, the total principal amount owing to Lender on the Term Note is $0.00, plus accrued and unpaid interest thereon.</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Guarantor, and each of them, acknowledge and confirm that as of December 10, 2025 the total principal amount owing to Lender on the Revolving Note is $3,000,000.00 plus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Guarantor, and each of them, specifically acknowledge and confirm that they do not have any valid offset or defense to the obligations, indebtedness and liability under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Reaffirmation of Obligations</w:t>
      </w:r>
      <w:r>
        <w:rPr>
          <w:rFonts w:ascii="Times New Roman;Times;Serif" w:hAnsi="Times New Roman;Times;Serif"/>
          <w:b w:val="false"/>
          <w:i w:val="false"/>
          <w:caps w:val="false"/>
          <w:smallCaps w:val="false"/>
          <w:sz w:val="20"/>
        </w:rPr>
        <w:t>. This Amendment is, in part, a reaffirmation of the obligations, indebtedness and liability of Borrower and Guarantor to Lender as evidenced by the Note, Loan Agreement, Guaranty, and the other Loan Documents. Therefore, Borrower and Guarantor represent, warrant, acknowledge and agree that, except as specified herein, all of the terms and conditions of the Loan Documents are and shall remain in full force and effect, without waiver or modification of any kind whatsoever, and are ratified and confirmed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Decrease the Maximum Principal Amount of the Revolving Loan</w:t>
      </w:r>
      <w:r>
        <w:rPr>
          <w:rFonts w:ascii="Times New Roman;Times;Serif" w:hAnsi="Times New Roman;Times;Serif"/>
          <w:b w:val="false"/>
          <w:i w:val="false"/>
          <w:caps w:val="false"/>
          <w:smallCaps w:val="false"/>
          <w:sz w:val="20"/>
        </w:rPr>
        <w:t>. The maximum principal amount of the Revolving Loan is hereby decreased from $6,000,000.00 to $5,000,000.00, subject to the terms and conditions of the Loan Agreement, this Amendment and the other Loan Documents. Any and all references in the Loan Agreement and the other Loan Documents to the maximum principal amount of the Revolving Loan of “Six Million and No/Dollars ($6,000,000.00)” and “6,000,000.00”, shall be replaced with Five Million and No/100 Dollars ($5,000,000.00)” and “5,000,000.00”,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Subject to the satisfaction by Borrower of all of the conditions precedent set forth in Section 11 below, and the performance of the other terms and conditions of this Amendment and the Loan Documents, at the request of Borrower, Lender hereby agrees to waive the DSCR Default for the testing period ending September 30, 2025, only, provided that such waiver is given by Lender on a one-time only basis, and is without waiver of any other term, covenant, or condition heretofore, now or hereafter to be observed, performed or satisfied by the Borrower or any other guarantor, person or entity, pursuant to the Loan Agreement or any other agreements, documents, or instruments, executed or delivered to Lender in connection therewith. Except as expressly stated herein, all existing terms and conditions of the Loan Agreement remain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Amendment to Loan Agreement</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“Debt Service Coverage Ratio” in Section 1.1 is hereby deleted in its entirety and replaced with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Service Coverage Ratio</w:t>
      </w:r>
      <w:r>
        <w:rPr>
          <w:rFonts w:ascii="Times New Roman;Times;Serif" w:hAnsi="Times New Roman;Times;Serif"/>
          <w:b w:val="false"/>
          <w:i w:val="false"/>
          <w:caps w:val="false"/>
          <w:smallCaps w:val="false"/>
          <w:sz w:val="20"/>
        </w:rPr>
        <w:t>’ shall mean the ratio of (i) Borrower’s EBITDA, excluding taxes paid in cash and capital expenditures, and net changes in deferred revenue, accounts receivable and accounts payable (including to related parties), plus the balance of the TCD plus fifty percent (50%) of unrestricted cash as of the end of the period measured, divided by (ii) the aggregate of the scheduled payments of principal and interest payable by Borrower to Lender under the Note, and all other scheduled payments of principal and interest payable by Borrower under any other indebtedness owed by Borrower to Lender, as determined by Lender in its sole discretion, for the prior trailing twelve (12) month period from measurement.”</w:t>
      </w:r>
    </w:p>
    <w:p>
      <w:pPr>
        <w:pStyle w:val="TextBody"/>
        <w:bidi w:val="0"/>
        <w:spacing w:before="0" w:after="0"/>
        <w:ind w:left="144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“Maximum Advance Amount” in Section 1.1 is hereby deleted in its entirety and replaced with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Advance Amount</w:t>
      </w:r>
      <w:r>
        <w:rPr>
          <w:rFonts w:ascii="Times New Roman;Times;Serif" w:hAnsi="Times New Roman;Times;Serif"/>
          <w:b w:val="false"/>
          <w:i w:val="false"/>
          <w:caps w:val="false"/>
          <w:smallCaps w:val="false"/>
          <w:sz w:val="20"/>
        </w:rPr>
        <w:t>’ shall mean $5,000,000.00, subject to Section 2.1 hereof.”</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definition of “TCD” is hereby added to Section 1.1 and states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TCD</w:t>
      </w:r>
      <w:r>
        <w:rPr>
          <w:rFonts w:ascii="Times New Roman;Times;Serif" w:hAnsi="Times New Roman;Times;Serif"/>
          <w:b w:val="false"/>
          <w:i w:val="false"/>
          <w:caps w:val="false"/>
          <w:smallCaps w:val="false"/>
          <w:sz w:val="20"/>
        </w:rPr>
        <w:t>’ shall mean that certain time certificate of deposit, in the amount of $1,000,000.00, pledged by Borrower, in favor of Lender, as pursuant to that Security Agreement (Assignment of Deposit Account) dated January 2, 2026, by Borrower, in favor of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59" w:right="0" w:hanging="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9.1(b) of the Loan Agreement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Debt Service Coverage Ratio</w:t>
      </w:r>
      <w:r>
        <w:rPr>
          <w:rFonts w:ascii="Times New Roman;Times;Serif" w:hAnsi="Times New Roman;Times;Serif"/>
          <w:b w:val="false"/>
          <w:i w:val="false"/>
          <w:caps w:val="false"/>
          <w:smallCaps w:val="false"/>
          <w:sz w:val="20"/>
        </w:rPr>
        <w:t>. Borrower shall maintain a minimum Debt Service Coverage Ratio of at least 1.50 to 1.00, which shall be measured quarterly on a trailing twelve month basis, beginning with the calendar quarter ending December 31,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9.12 of the Loan Agreement is hereby deleted in its entirety and replaced with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 of Debt Period</w:t>
      </w:r>
      <w:r>
        <w:rPr>
          <w:rFonts w:ascii="Times New Roman;Times;Serif" w:hAnsi="Times New Roman;Times;Serif"/>
          <w:b w:val="false"/>
          <w:i w:val="false"/>
          <w:caps w:val="false"/>
          <w:smallCaps w:val="false"/>
          <w:sz w:val="20"/>
        </w:rPr>
        <w:t>. Borrower covenants and agrees that the Revolving Loan is extended to Borrower, and provided by Lender, with the understanding that it is to be utilized to finance the short-term business needs of Borrower and is not intended as a long-term loan. Borrower therefore agrees that during the term of the Revolving Loan and any renewals or extensions thereof, Borrower will maintain an outstanding principal balance of not more than Two Million Five Hundred Thousand and No/100 Dollars ($2,500,000.00) for (30) consecutive days during any twelve (12) consecutive-month period of time from the Closing Date and continuing during the term of the Revolving Loan.”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New Deed of Trust; New Assignment of Deposit Accounts</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additional security for the indebtedness and obligations under the Loan, Borrower shall execute and deliver to Lender that certain Deed of Trust, Assignment of Rents, Security Agreement and Fixture Filing of even date herewith (“</w:t>
      </w:r>
      <w:r>
        <w:rPr>
          <w:rFonts w:ascii="Times New Roman;Times;Serif" w:hAnsi="Times New Roman;Times;Serif"/>
          <w:b w:val="false"/>
          <w:i w:val="false"/>
          <w:caps w:val="false"/>
          <w:smallCaps w:val="false"/>
          <w:sz w:val="20"/>
          <w:u w:val="single"/>
        </w:rPr>
        <w:t>New Deed of Trust</w:t>
      </w:r>
      <w:r>
        <w:rPr>
          <w:rFonts w:ascii="Times New Roman;Times;Serif" w:hAnsi="Times New Roman;Times;Serif"/>
          <w:b w:val="false"/>
          <w:i w:val="false"/>
          <w:caps w:val="false"/>
          <w:smallCaps w:val="false"/>
          <w:sz w:val="20"/>
        </w:rPr>
        <w:t>”), in favor of Lender, encumbering, without limitation, certain real property, more particularly described in Exhibit “A” attached hereto and incorporated herein by this reference (as more particularly described therein, the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with a security interest in favor of Lender.</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deposit the sum of One Million and No/100 Dollars ($1,000,000.00), from Borrower’s own immediately available funds, into that certain account no. 8667726699, held with Lender (the “</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The Reserve Account shall be assigned to Lender pursuant to that certain Security Agreement (Assignment of Deposit Account) of even date herewith (“</w:t>
      </w:r>
      <w:r>
        <w:rPr>
          <w:rFonts w:ascii="Times New Roman;Times;Serif" w:hAnsi="Times New Roman;Times;Serif"/>
          <w:b w:val="false"/>
          <w:i w:val="false"/>
          <w:caps w:val="false"/>
          <w:smallCaps w:val="false"/>
          <w:sz w:val="20"/>
          <w:u w:val="single"/>
        </w:rPr>
        <w:t>New Assignment of Deposit Account</w:t>
      </w:r>
      <w:r>
        <w:rPr>
          <w:rFonts w:ascii="Times New Roman;Times;Serif" w:hAnsi="Times New Roman;Times;Serif"/>
          <w:b w:val="false"/>
          <w:i w:val="false"/>
          <w:caps w:val="false"/>
          <w:smallCaps w:val="false"/>
          <w:sz w:val="20"/>
        </w:rPr>
        <w:t>”), by Borrower, in favor of Lender, as additional collateral in connection to the Loan. The Reserve Account is and shall be a blocked account, accessible only to Lender and Borrower shall have no right to withdraw or otherwise utilize funds from the Reserve Account or to reduce the balance in the Reserve Account in any manner whatsoever. The Reserve Account, and any sums therein, shall not bear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Amendment as a Loan Document</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Date of this Amendment, this Amendment and any other documents and instruments executed in connection herewith shall each constitute one of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Effective Date of Amendment</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the amendments provided for herein shall be effective as of the Effective Date, subject to the timely and complete satisfaction of each and all of the conditions precedent set forth in Section 11, below,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Borrower’s and Guarantor’s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Guarantor hereby represent and warrant to Lender and covenant and agree with Lender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have full legal right, power and authority to enter into and perform this Amendment. The execution and delivery of this Amendment by Borrower and Guarantor, and the consummation by Borrower and Guarantor of the transactions contemplated hereby have been duly authorized by all necessary action by or on behalf of Borrower and/or Guarantor. This Amendment is a valid and binding obligation of Borrower and Guarantor, and each of them, enforceable against Borrower and Guarantor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Borrower and/or Guarantor, and the performance by Borrower and/or Guarantor of all their respective obligations hereunder do not and will not result in a breach of or constitute a default under, or cause or permit the acceleration of any obligation owed or required under, any other agreement, lease, or instrument to which Borrower and/or Guarantor is a party or by which Borrower’s and/or Guarantor’s properties are bound or affected.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actions, suits or proceedings pending, or to the knowledge of Borrower and/or Guarantor threatened against or affecting Borrower and/or Guarantor in relation to their obligations to Lender or involving the validity and enforceability of this Amendment, the Loan Agreement, or any of the other Loan Documents, as applicable, or the priority of any liens given by Borrower to Lender in accordance with the Note, the Loan Agreement, and the other Loan Documents, at Law or in equity, or before or by any Governmental Agency, or which could have a material adverse effect on the financial condition, operations, properties, assets, liabilities or earnings of Borrower and/or Guarantor, or the ability of Borrower and/or Guarantor to perform their respective obligations to Lender.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hereby reaffirm and confirm that the representations and warranties of Borrower and Guarantor contained in the Loan Documents are true, correct and complete in all material respects as of the Effective Date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Guarantor are in full and complete compliance with the terms, covenants, provisions and conditions of the Note, the Loan Agreement, the Guaranty,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representations and warranties of Borrower and Guarantor herein are incorporated by reference and hereby made a part of the Loan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shall be expressly conditioned upon the following having occurred or Lender having received, by no later than January 12, 2026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all of the following, in form and content satisfactory to Lender and its counsel, in their sole and absolute opinion and judgment, and suitable for filing or recording, as the case may be,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fully executed by Borrower and Guarantor;</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New Deed of Trust, fully executed by Borrower;</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New Assignment of Deposit Account, fully executed by Borrower;</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from Borrower’s own immediately available funds, of the fees and costs of Lender in connection with the preparation, negotiation, administration and execution of this Amendment and all documents in connection therewith, including, but not limited to, attorneys’ fees and other costs and fees of other professionals retained by Lender;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additional assignments, agreements, certificates, reports, approvals, instruments, documents, subordination agreements, financing statements, resolutions, authorizations, consents and opinions as Lender may request, in its sole opinion and judgment, in connection with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binding upon and inure to the benefit of Lender, Borrower and their respective successors and assigns, except that Borrower and Guarantor may not assign their rights hereunder or any interest therein without the prior written consent of Lender.</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General Release of Lender</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on behalf of themselves, their respective successors, heirs and assigns, and each of them (for purposes of this Section 13, hereinafter referred to individually and collectively as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do each hereby forever relieve, release, acquit and discharge Lender and its predecessors, successors and assigns, and their respective past and present attorneys, accountants, insurers, representatives, affiliates, partners, subsidiaries, officers, employees, directors, and shareholders, and each of them (collectively, the “Released Parties”), from any and all claims, debts, liabilities, demands, obligations, promises, acts, agreements, costs and expenses (including, but not limited to, attorneys’ fees), damages, injuries, actions and causes of action, of whatever kind or nature, whether legal or equitable, known or unknown, suspected or unsuspected, contingent or fixed, which the Releasing Parties, or any of them, now own or hold or have at any time heretofore owned or held or may at any time hereafter own or hold against the Released Parties, or any of them, by reason of any acts, facts, transactions or any circumstances whatsoever occurring or existing through the date of this Agreement, including, but not limited to, those based upon, arising out of, appertaining to, or in connection with the Recitals above, the Loan, the Loan Documents, the facts pertaining to this Agreement, including, but not limited to, the modification and assumption of the Loan Documents contemplated herein, any collateral heretofore granted to Lender or granted in connection herewith (including, without limitation, the Collateral), or to any other obligations of the Releasing Parties, or any of them, to Lender, and the lending arrangements between Lender, Borrower, and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Releasing Parties waive all rights under Section 1542 of the Civil Code of the State of California, which each understands provides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Releasing Parties each expressly waive and release any right or benefit which they have or may have under Section 1542 of the Civil Code of the State of California, and any similar law of any state, territory, commonwealth or possession of the United States, or the United States, to the full extent that they may waive all such rights and benefits pertaining to the matters released herein. In connection with such waiver and relinquishment, each of the Releasing Parties acknowledge that they are aware that they may hereafter discover claims presently unknown or unsuspected, or facts in addition to or different from those which they now know or believe to be true. Nevertheless, it is the intention of the Releasing Parties, through this Agreement, to fully, finally and forever release all such matters, and all claims relative thereto, which do now exist, may exist, or heretofore have existed. In furtherance of such intention, the release herein given shall be and remain in effect as a full and complete release of such matters notwithstanding the discovery or existence of any such additional or different claims or facts relative thereto.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Releasing Parties are the sole and lawful owners of all right, title and interest in and to every claim and other matter which they purport to release herein, and they have not heretofore assigned or transferred, or purported to assign or transfer to any person or entity claims or other matters herein released. Each of the Releasing Parties shall indemnify, defend and hold Lender and each of the other Released Parties, and each of them, harmless from and against any claims, liabilities, actions, causes of action, demands, injuries, costs, and expenses (including, but not limited to, attorneys’ fees), based upon or arising in connection with any such prior assignment or transfer, or any such purported assignment or transfer, or any claims or other matters released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Joint Venture, Management and Control</w:t>
      </w:r>
      <w:r>
        <w:rPr>
          <w:rFonts w:ascii="Times New Roman;Times;Serif" w:hAnsi="Times New Roman;Times;Serif"/>
          <w:b w:val="false"/>
          <w:i w:val="false"/>
          <w:caps w:val="false"/>
          <w:smallCaps w:val="false"/>
          <w:sz w:val="20"/>
        </w:rPr>
        <w:t>. Notwithstanding any provision of this Amendment and/or of the Loan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is not and shall not be construed to be a partner, joint venture, alter ego, manager, controlling person or other business associate or participant of any kind of Borrower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shall not be deemed responsible to perform or participate in any acts, omissions, or decisions of Borrower, Guarantor or any of them;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Guarantor, and each of them, do not have any claims, causes of action, or defenses to their obligations to Lender based on any allegations of management or control exercised by Lender. Borrower and Guarantor, and each of them, acknowledge and agree that Lender does not manage or control them in any 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3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headings used in this Amendment are for convenience only and shall not affect the construction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Amendment may be executed in one or more counterparts but all of the counterparts shall constitute one agreement; provided, however, this Amendment shall not be effective and enforceable unless and until it is executed by all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and the other documents and instruments executed in connection therewith constitute the product of the negotiation of the parties hereto and the enforcement hereof shall be interpreted in a neutral manner, and not more strongly for or against any party based upon the source of the draftsmanship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is not a novation, nor, except as expressly provided in this Amendment, is it to be construed as a release or modification of any of the terms, conditions, warranties, waivers or rights set forth in the Loan Documents. Except as expressly provided in this Amendment, nothing contained in this Amendment shall be deemed to (i) constitute a waiver by Lender of any required performance by Borrower and Guarantor, (ii) constitute a waiver by Lender of any breach or default by Borrower and/or Guarantor that has heretofore existed, now exists or may hereafter arise under the Loan Agreement and/or any of the other Loan Documents, or (iii) require any extension other than any extension which is specifically agreed to herein by Lender or otherwise provided for in the Loan Documents, and no other extension is to be implied from the language used herein, by operation of Law, or otherwise. In the event there is a conflict in any term, condition or provision of this Amendment, on the one hand, and the Note, the Loan Agreement, or any of the other Loan Documents, on the other hand, the terms, conditions and provisions of this Amendment are to control.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and Guarantor represent and warrant as follows:</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They have received, or have had the opportunity to receive, independent legal advice from attorneys of each of their choice with respect to the advisability of executing this Amendment and prior to the execution of this Amendment by Borrower and Guarantor, their attorneys reviewed this Amendment and discussed this Amendment with them and have made all desired changes;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expressly stated in this Amendment, neither Lender nor any other person or entity has made any statement or representation to Borrower or Guarantor regarding facts relied upon by any of them;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Borrower does not rely upon any statement, representation or promise of Lender or any other person or entity in executing this Amendment except as expressly stated in this Amendment;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87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terms of this Amendment are contractual and not a mere recital;</w:t>
      </w:r>
    </w:p>
    <w:p>
      <w:pPr>
        <w:pStyle w:val="TextBody"/>
        <w:bidi w:val="0"/>
        <w:spacing w:before="0" w:after="0"/>
        <w:ind w:left="2879" w:right="0" w:hanging="719"/>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Amendment has been carefully read by, the contents hereof are known and understood by, and it is signed freely by Borrower and Guarantor;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and the releases contained herein are intended to be final and binding against Borrower and Guarantor, and Borrower and Guarantor, and each of them, acknowledge that Lender is expressly relying on the finality of this Amendment as a substantial, material factor inducing Lender’s execution of this Amendment. Borrower has the full right and authority to enter into this Amendment, and the officer, agent or other representative executing this Amendment on behalf of Borrower has the full right and authority to fully commit and bind it to this Amendment.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on the next page]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JUDICIAL REFERENCE</w:t>
      </w:r>
      <w:r>
        <w:rPr>
          <w:rFonts w:ascii="Times New Roman;Times;Serif" w:hAnsi="Times New Roman;Times;Serif"/>
          <w:b w:val="false"/>
          <w:i w:val="false"/>
          <w:caps w:val="false"/>
          <w:smallCaps w:val="false"/>
          <w:sz w:val="20"/>
        </w:rPr>
        <w:t>. The parties hereby agree that any claims, controversies, disputes, or questions of interpretation, whether legal or equitable, arising out of, concerning or related to the Loan Agreement, the Guaranty, this Amendment, and any and all Loan Documents executed by Borrower and Guarantor shall be heard by a single referee by consensual general judicial reference pursuant to the provisions of California Code of Civil Procedure Sections 638 et seq., who shall determine all issues of fact or law and to report a statement of decision. The referee shall also have the power to hear and determine proceedings for ancillary relief, including, but not limited to, applications for attachment, issuance of injunctive relief, appointment of a receiver, and/or claim and delivery. The costs of the proceeding shall be borne equally by the parties to the dispute, subject to the discretion of the referee to allocate such costs based on a determination as to the prevailing party(ies) in the proceeding. All capitalized terms not otherwise defined herein shall have the meaning as defined in the Loan Agreement, and the Loan Documents,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referee shall be a retired Judge or Justice selected by mutual agreement of the parties. If the parties do not agree, then the referee shall be selected by the Judge of the Court. A request for appointment of a referee may be heard on any ex parte or expedited basis, and the parties agree that irreparable harm would result if the request for appointment of a referee is not heard on an ex parte or expedited basis. The referee shall be appointed to sit with all powers provided by law. Pending appointment of the referee, the Court has power to issue temporary or provisional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[INITIALS ON FOLLOWING PAGE]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initialing below the parties acknowledge that they have read and understand the foregoing Judicial Reference provisions and understand that they are waiving their right to a jury trial.</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28" w:type="dxa"/>
          <w:right w:w="0" w:type="dxa"/>
        </w:tblCellMar>
      </w:tblPr>
      <w:tblGrid>
        <w:gridCol w:w="1535"/>
        <w:gridCol w:w="60"/>
        <w:gridCol w:w="1040"/>
        <w:gridCol w:w="60"/>
        <w:gridCol w:w="1220"/>
      </w:tblGrid>
      <w:tr>
        <w:trPr/>
        <w:tc>
          <w:tcPr>
            <w:tcW w:w="153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Initials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Shi’s Initials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Zhou’s Initials</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Initials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1"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Effective Date set forth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GAMES USA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corporation</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5"/>
        <w:gridCol w:w="3065"/>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and Secretary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28" w:type="dxa"/>
          <w:right w:w="0" w:type="dxa"/>
        </w:tblCellMar>
      </w:tblPr>
      <w:tblGrid>
        <w:gridCol w:w="2255"/>
        <w:gridCol w:w="75"/>
      </w:tblGrid>
      <w:tr>
        <w:trPr/>
        <w:tc>
          <w:tcPr>
            <w:tcW w:w="225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 an individual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YING ZHOU, an individual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CATHAY BANK,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banking corporation</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APN/Parcel ID(s): 4220-008-028</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 REFERRED TO HEREIN BELOW IS SITUATED IN THE CITY OF CULVER CITY, COUNTY OF LOS ANGELES, STATE OF CALIFORNIA AND IS DESCRIBED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LOTS 346, 347 AND 348 OF TRACT NO. 9483, IN THE CITY OF LOS ANGELES, COUNTY OF LOS ANGELES, STATE OF CALIFORNIA, AS PER MAP RECORDED IN BOOK 132 PAGES 81 TO 83 INCLUSIVE OF MAPS, IN THE OFFICE OF THE COUNTY RECORDER OF SAID COUNTY.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EXCEPTING ALL OIL, GAS AND MINERAL RIGHTS OF SAID LAND, LYING BELOW A DEPTH OF 500 FEET FROM THE PRESENT SURFACE THEREOF, BUT WITHOUT RIGHT OF SURFACE ENTRY RESERVED UNTO DOUGLAS MARK APATOW AND ANDREA GARDNER APATOW, HUSBAND AND WIFE AS COMMUNITY PROPERTY BY GRANT DEED DATED JUNE 12,1997 RECORDED AS INSTRUMENT NO. 97-904149 OF OFFICIAL RECORDS.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55" w:name="ex10-37.htm"/>
      <w:bookmarkStart w:id="1556" w:name="ksex1037"/>
      <w:bookmarkEnd w:id="1555"/>
      <w:bookmarkEnd w:id="155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EXCLUSIVE SOFTWARE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the Amended and Restated Exclusive Software License Agreement (the “</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is entered into as of October 1, 2023 (the “</w:t>
      </w:r>
      <w:r>
        <w:rPr>
          <w:rFonts w:ascii="Times New Roman;Times;Serif" w:hAnsi="Times New Roman;Times;Serif"/>
          <w:b/>
          <w:i w:val="false"/>
          <w:caps w:val="false"/>
          <w:smallCaps w:val="false"/>
          <w:sz w:val="20"/>
        </w:rPr>
        <w:t>Second Amendment Effective Date</w:t>
      </w:r>
      <w:r>
        <w:rPr>
          <w:rFonts w:ascii="Times New Roman;Times;Serif" w:hAnsi="Times New Roman;Times;Serif"/>
          <w:b w:val="false"/>
          <w:i w:val="false"/>
          <w:caps w:val="false"/>
          <w:smallCaps w:val="false"/>
          <w:sz w:val="20"/>
        </w:rPr>
        <w:t>”) by and between SDE Inc., a California corporation (“</w:t>
      </w:r>
      <w:r>
        <w:rPr>
          <w:rFonts w:ascii="Times New Roman;Times;Serif" w:hAnsi="Times New Roman;Times;Serif"/>
          <w:b/>
          <w:i w:val="false"/>
          <w:caps w:val="false"/>
          <w:smallCaps w:val="false"/>
          <w:sz w:val="20"/>
        </w:rPr>
        <w:t>Licensor</w:t>
      </w:r>
      <w:r>
        <w:rPr>
          <w:rFonts w:ascii="Times New Roman;Times;Serif" w:hAnsi="Times New Roman;Times;Serif"/>
          <w:b w:val="false"/>
          <w:i w:val="false"/>
          <w:caps w:val="false"/>
          <w:smallCaps w:val="false"/>
          <w:sz w:val="20"/>
        </w:rPr>
        <w:t>”), and SNAIL GAMES USA, INC., a California corporation (“</w:t>
      </w:r>
      <w:r>
        <w:rPr>
          <w:rFonts w:ascii="Times New Roman;Times;Serif" w:hAnsi="Times New Roman;Times;Serif"/>
          <w:b/>
          <w:i w:val="false"/>
          <w:caps w:val="false"/>
          <w:smallCaps w:val="false"/>
          <w:sz w:val="20"/>
        </w:rPr>
        <w:t>Licensee</w:t>
      </w:r>
      <w:r>
        <w:rPr>
          <w:rFonts w:ascii="Times New Roman;Times;Serif" w:hAnsi="Times New Roman;Times;Serif"/>
          <w:b w:val="false"/>
          <w:i w:val="false"/>
          <w:caps w:val="false"/>
          <w:smallCaps w:val="false"/>
          <w:sz w:val="20"/>
        </w:rPr>
        <w:t>”). Licensor and together with Licensee,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Capitalized terms used and not defined in this Second Amendment have the respective meanings assigned to them in the Existing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that certain Amended and Restated Exclusive Software License Agreement dated January 1, 2022, as amended by that certain Amendment No. 1 thereto, dated December 13, 2022 (as amended, the “</w:t>
      </w:r>
      <w:r>
        <w:rPr>
          <w:rFonts w:ascii="Times New Roman;Times;Serif" w:hAnsi="Times New Roman;Times;Serif"/>
          <w:b/>
          <w:i w:val="false"/>
          <w:caps w:val="false"/>
          <w:smallCaps w:val="false"/>
          <w:sz w:val="20"/>
        </w:rPr>
        <w:t>Existing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Licensor has developed and is in the process of commercially releasing a modified version of the original Game titled “ARK: Survival Evolved” which is known as “ARK: Survival Ascended” (the actual release date, the “</w:t>
      </w:r>
      <w:r>
        <w:rPr>
          <w:rFonts w:ascii="Times New Roman;Times;Serif" w:hAnsi="Times New Roman;Times;Serif"/>
          <w:b/>
          <w:i w:val="false"/>
          <w:caps w:val="false"/>
          <w:smallCaps w:val="false"/>
          <w:sz w:val="20"/>
        </w:rPr>
        <w:t>ASA Launch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certain terms of the Existing Agreement pertaining to the License Fee, Royalty Payments with respect to the Game;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the purposes of reflecting the items described in the foregoing recital, the Parties desire to amend the Existing Agreement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shd w:fill="FFFFFF" w:val="clear"/>
        </w:rPr>
        <w:t>Amendments to the Existing Agreement</w:t>
      </w:r>
      <w:r>
        <w:rPr>
          <w:rFonts w:ascii="Times New Roman;Times;Serif" w:hAnsi="Times New Roman;Times;Serif"/>
          <w:b w:val="false"/>
          <w:i w:val="false"/>
          <w:caps w:val="false"/>
          <w:smallCaps w:val="false"/>
          <w:sz w:val="20"/>
        </w:rPr>
        <w:t>. As of the date hereof, the Existing Agreement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Definition of Game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of the Existing Agreement is hereby amended by deleting the definition of the term “</w:t>
      </w:r>
      <w:r>
        <w:rPr>
          <w:rFonts w:ascii="Times New Roman;Times;Serif" w:hAnsi="Times New Roman;Times;Serif"/>
          <w:b/>
          <w:i w:val="false"/>
          <w:caps w:val="false"/>
          <w:smallCaps w:val="false"/>
          <w:sz w:val="20"/>
        </w:rPr>
        <w:t>Game</w:t>
      </w:r>
      <w:r>
        <w:rPr>
          <w:rFonts w:ascii="Times New Roman;Times;Serif" w:hAnsi="Times New Roman;Times;Serif"/>
          <w:b w:val="false"/>
          <w:i w:val="false"/>
          <w:caps w:val="false"/>
          <w:smallCaps w:val="false"/>
          <w:sz w:val="20"/>
        </w:rPr>
        <w:t>” in its entirety and replacing it with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Game</w:t>
      </w:r>
      <w:r>
        <w:rPr>
          <w:rFonts w:ascii="Times New Roman;Times;Serif" w:hAnsi="Times New Roman;Times;Serif"/>
          <w:b w:val="false"/>
          <w:i w:val="false"/>
          <w:caps w:val="false"/>
          <w:smallCaps w:val="false"/>
          <w:sz w:val="20"/>
        </w:rPr>
        <w:t>” means any and all versions of the software product known, as of the Original Effective Date, as “ARK: Survival Evolved” (“</w:t>
      </w:r>
      <w:r>
        <w:rPr>
          <w:rFonts w:ascii="Times New Roman;Times;Serif" w:hAnsi="Times New Roman;Times;Serif"/>
          <w:b/>
          <w:i w:val="false"/>
          <w:caps w:val="false"/>
          <w:smallCaps w:val="false"/>
          <w:sz w:val="20"/>
        </w:rPr>
        <w:t>ASE Game</w:t>
      </w:r>
      <w:r>
        <w:rPr>
          <w:rFonts w:ascii="Times New Roman;Times;Serif" w:hAnsi="Times New Roman;Times;Serif"/>
          <w:b w:val="false"/>
          <w:i w:val="false"/>
          <w:caps w:val="false"/>
          <w:smallCaps w:val="false"/>
          <w:sz w:val="20"/>
        </w:rPr>
        <w:t>”), and, as of the Second Amendment Effective Date, as “ARK: Survival Ascended” (“</w:t>
      </w:r>
      <w:r>
        <w:rPr>
          <w:rFonts w:ascii="Times New Roman;Times;Serif" w:hAnsi="Times New Roman;Times;Serif"/>
          <w:b/>
          <w:i w:val="false"/>
          <w:caps w:val="false"/>
          <w:smallCaps w:val="false"/>
          <w:sz w:val="20"/>
        </w:rPr>
        <w:t>ASA Game</w:t>
      </w:r>
      <w:r>
        <w:rPr>
          <w:rFonts w:ascii="Times New Roman;Times;Serif" w:hAnsi="Times New Roman;Times;Serif"/>
          <w:b w:val="false"/>
          <w:i w:val="false"/>
          <w:caps w:val="false"/>
          <w:smallCaps w:val="false"/>
          <w:sz w:val="20"/>
        </w:rPr>
        <w:t>”), in any and all languages, including (i) downloadable software that is required to be installed on a suitable computer for an End User to play such software product (“</w:t>
      </w:r>
      <w:r>
        <w:rPr>
          <w:rFonts w:ascii="Times New Roman;Times;Serif" w:hAnsi="Times New Roman;Times;Serif"/>
          <w:b/>
          <w:i w:val="false"/>
          <w:caps w:val="false"/>
          <w:smallCaps w:val="false"/>
          <w:sz w:val="20"/>
        </w:rPr>
        <w:t>Client Software</w:t>
      </w:r>
      <w:r>
        <w:rPr>
          <w:rFonts w:ascii="Times New Roman;Times;Serif" w:hAnsi="Times New Roman;Times;Serif"/>
          <w:b w:val="false"/>
          <w:i w:val="false"/>
          <w:caps w:val="false"/>
          <w:smallCaps w:val="false"/>
          <w:sz w:val="20"/>
        </w:rPr>
        <w:t>”), (ii) software installed by Licensor on a server designated by Licensee to process code and data in order to enable an End User to play such software product (“</w:t>
      </w:r>
      <w:r>
        <w:rPr>
          <w:rFonts w:ascii="Times New Roman;Times;Serif" w:hAnsi="Times New Roman;Times;Serif"/>
          <w:b/>
          <w:i w:val="false"/>
          <w:caps w:val="false"/>
          <w:smallCaps w:val="false"/>
          <w:sz w:val="20"/>
        </w:rPr>
        <w:t>Server Software</w:t>
      </w:r>
      <w:r>
        <w:rPr>
          <w:rFonts w:ascii="Times New Roman;Times;Serif" w:hAnsi="Times New Roman;Times;Serif"/>
          <w:b w:val="false"/>
          <w:i w:val="false"/>
          <w:caps w:val="false"/>
          <w:smallCaps w:val="false"/>
          <w:sz w:val="20"/>
        </w:rPr>
        <w:t>”), (iii) text files in all languages contained in the such software product (“</w:t>
      </w:r>
      <w:r>
        <w:rPr>
          <w:rFonts w:ascii="Times New Roman;Times;Serif" w:hAnsi="Times New Roman;Times;Serif"/>
          <w:b/>
          <w:i w:val="false"/>
          <w:caps w:val="false"/>
          <w:smallCaps w:val="false"/>
          <w:sz w:val="20"/>
        </w:rPr>
        <w:t>Text File</w:t>
      </w:r>
      <w:r>
        <w:rPr>
          <w:rFonts w:ascii="Times New Roman;Times;Serif" w:hAnsi="Times New Roman;Times;Serif"/>
          <w:b w:val="false"/>
          <w:i w:val="false"/>
          <w:caps w:val="false"/>
          <w:smallCaps w:val="false"/>
          <w:sz w:val="20"/>
        </w:rPr>
        <w:t>”), (iv) DLC related to such software product, (v) any additional or derivative content created for such software product by Licensor (vi) any content created by End Users for such software product, to the extent Licensor or Licensee has rights to such content under their respective agreements with such End Users and (vii) any Bug fixes.</w:t>
      </w:r>
    </w:p>
    <w:p>
      <w:pPr>
        <w:pStyle w:val="TextBody"/>
        <w:bidi w:val="0"/>
        <w:spacing w:before="0" w:after="0"/>
        <w:ind w:left="21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Monthly License Fee. Section 4.01</w:t>
      </w:r>
      <w:r>
        <w:rPr>
          <w:rFonts w:ascii="Times New Roman;Times;Serif" w:hAnsi="Times New Roman;Times;Serif"/>
          <w:b w:val="false"/>
          <w:i w:val="false"/>
          <w:caps w:val="false"/>
          <w:smallCaps w:val="false"/>
          <w:sz w:val="20"/>
        </w:rPr>
        <w:t xml:space="preserve"> of the Existing Agreement is hereby amended by deleting it in its entirety and replacing it with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Monthly License Fee</w:t>
      </w:r>
      <w:r>
        <w:rPr>
          <w:rFonts w:ascii="Times New Roman;Times;Serif" w:hAnsi="Times New Roman;Times;Serif"/>
          <w:b w:val="false"/>
          <w:i w:val="false"/>
          <w:caps w:val="false"/>
          <w:smallCaps w:val="false"/>
          <w:sz w:val="20"/>
        </w:rPr>
        <w:t>. Following the ASA Launch Date and during the Term, Licensee shall pay Licensor a monthly licensing fee of two million U.S. dollars ($2,000,000), for a total of twenty four million U.S. dollars ($24,000,000) per year; provided, however, Licensee’s obligation to pay the foregoing monthly licensing fee shall be automatically terminated upon the public release of the sequel of the Game being developed by Licensor and currently titled as “</w:t>
      </w:r>
      <w:r>
        <w:rPr>
          <w:rFonts w:ascii="Times New Roman;Times;Serif" w:hAnsi="Times New Roman;Times;Serif"/>
          <w:b/>
          <w:i w:val="false"/>
          <w:caps w:val="false"/>
          <w:smallCaps w:val="false"/>
          <w:sz w:val="20"/>
        </w:rPr>
        <w:t>ARK 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New Game</w:t>
      </w:r>
      <w:r>
        <w:rPr>
          <w:rFonts w:ascii="Times New Roman;Times;Serif" w:hAnsi="Times New Roman;Times;Serif"/>
          <w:b w:val="false"/>
          <w:i w:val="false"/>
          <w:caps w:val="false"/>
          <w:smallCaps w:val="false"/>
          <w:sz w:val="20"/>
        </w:rPr>
        <w:t>”); provided, further however, Licensee shall remain obligated to pay the unpaid licensing fee attributable to the period ending on the date of the public release of the New Game.”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Royalty Payments. Section 4.02</w:t>
      </w:r>
      <w:r>
        <w:rPr>
          <w:rFonts w:ascii="Times New Roman;Times;Serif" w:hAnsi="Times New Roman;Times;Serif"/>
          <w:b w:val="false"/>
          <w:i w:val="false"/>
          <w:caps w:val="false"/>
          <w:smallCaps w:val="false"/>
          <w:sz w:val="20"/>
        </w:rPr>
        <w:t xml:space="preserve"> of the Existing Agreement is hereby amended by deleting it in its entirety and replacing it with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Royalty Payments</w:t>
      </w:r>
      <w:r>
        <w:rPr>
          <w:rFonts w:ascii="Times New Roman;Times;Serif" w:hAnsi="Times New Roman;Times;Serif"/>
          <w:b w:val="false"/>
          <w:i w:val="false"/>
          <w:caps w:val="false"/>
          <w:smallCaps w:val="false"/>
          <w:sz w:val="20"/>
        </w:rPr>
        <w:t>. Following the ASA Launch Date and during the Term, Licensee shall pay Licensor (a) with respect to the ASA Game, twenty-five percent (25%) of the Total Revenue pertaining to the ASA Game (the “</w:t>
      </w:r>
      <w:r>
        <w:rPr>
          <w:rFonts w:ascii="Times New Roman;Times;Serif" w:hAnsi="Times New Roman;Times;Serif"/>
          <w:b/>
          <w:i w:val="false"/>
          <w:caps w:val="false"/>
          <w:smallCaps w:val="false"/>
          <w:sz w:val="20"/>
        </w:rPr>
        <w:t>ASA Royalty Payment</w:t>
      </w:r>
      <w:r>
        <w:rPr>
          <w:rFonts w:ascii="Times New Roman;Times;Serif" w:hAnsi="Times New Roman;Times;Serif"/>
          <w:b w:val="false"/>
          <w:i w:val="false"/>
          <w:caps w:val="false"/>
          <w:smallCaps w:val="false"/>
          <w:sz w:val="20"/>
        </w:rPr>
        <w:t>”), and (b) with respect to ASE Game, forty percent (40%) of the Total Revenue pertaining to the ASE Game (the “</w:t>
      </w:r>
      <w:r>
        <w:rPr>
          <w:rFonts w:ascii="Times New Roman;Times;Serif" w:hAnsi="Times New Roman;Times;Serif"/>
          <w:b/>
          <w:i w:val="false"/>
          <w:caps w:val="false"/>
          <w:smallCaps w:val="false"/>
          <w:sz w:val="20"/>
        </w:rPr>
        <w:t>ASE Royalty Payment</w:t>
      </w:r>
      <w:r>
        <w:rPr>
          <w:rFonts w:ascii="Times New Roman;Times;Serif" w:hAnsi="Times New Roman;Times;Serif"/>
          <w:b w:val="false"/>
          <w:i w:val="false"/>
          <w:caps w:val="false"/>
          <w:smallCaps w:val="false"/>
          <w:sz w:val="20"/>
        </w:rPr>
        <w:t>, and together with ASA Royalty Payment, the “</w:t>
      </w:r>
      <w:r>
        <w:rPr>
          <w:rFonts w:ascii="Times New Roman;Times;Serif" w:hAnsi="Times New Roman;Times;Serif"/>
          <w:b/>
          <w:i w:val="false"/>
          <w:caps w:val="false"/>
          <w:smallCaps w:val="false"/>
          <w:sz w:val="20"/>
        </w:rPr>
        <w:t>Royalty Payment</w:t>
      </w:r>
      <w:r>
        <w:rPr>
          <w:rFonts w:ascii="Times New Roman;Times;Serif" w:hAnsi="Times New Roman;Times;Serif"/>
          <w:b w:val="false"/>
          <w:i w:val="false"/>
          <w:caps w:val="false"/>
          <w:smallCaps w:val="false"/>
          <w:sz w:val="20"/>
        </w:rPr>
        <w:t>”). For the avoidance of doubt, Licensee shall retain, with respect to the ASA Game, seventy-five percent (75%) of the Total Revenue pertaining to the ASA Game, and, with respect to the ASE Game, sixty percent (60%) of the Total Revenue pertaining to the ASE Game. For the avoidance of doubt, Licensee shall not owe Licensor any royalty payments based on Retail Revenue.”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Payments for Existing DLCs or Add-On or Mini-packs to the existing DLCs or Non-Canonical Maps on ASA</w:t>
      </w:r>
      <w:r>
        <w:rPr>
          <w:rFonts w:ascii="Times New Roman;Times;Serif" w:hAnsi="Times New Roman;Times;Serif"/>
          <w:b w:val="false"/>
          <w:i w:val="false"/>
          <w:caps w:val="false"/>
          <w:smallCaps w:val="false"/>
          <w:sz w:val="20"/>
        </w:rPr>
        <w:t>. As of the Second Amendment Effective Date, the Game ARK: Survival Ascended includes five (5) DLCs, which, including any mini-packs or add-ons to such five (5) DLCs and the non-canonical maps on ASA, are not subject to any DLC Payments contemplated under the Existing Agreement. Accordingly, Section 4.01 of the Existing Agreement is amended by deleting it in its entirely and replacing it with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shd w:fill="FFFFFF" w:val="clear"/>
        </w:rPr>
        <w:t>“</w:t>
      </w:r>
      <w:r>
        <w:rPr>
          <w:rFonts w:ascii="Times New Roman;Times;Serif" w:hAnsi="Times New Roman;Times;Serif"/>
          <w:b w:val="false"/>
          <w:i/>
          <w:caps w:val="false"/>
          <w:smallCaps w:val="false"/>
          <w:sz w:val="20"/>
          <w:shd w:fill="FFFFFF" w:val="clear"/>
        </w:rPr>
        <w:t>DLC Payments</w:t>
      </w:r>
      <w:r>
        <w:rPr>
          <w:rFonts w:ascii="Times New Roman;Times;Serif" w:hAnsi="Times New Roman;Times;Serif"/>
          <w:b w:val="false"/>
          <w:i w:val="false"/>
          <w:caps w:val="false"/>
          <w:smallCaps w:val="false"/>
          <w:sz w:val="20"/>
          <w:shd w:fill="FFFFFF" w:val="clear"/>
        </w:rPr>
        <w:t xml:space="preserve">. Licensee shall pay Licensor a one-time payment of five million U.S. dollars ($5,000,000) upon the release of each DLC during the Term; but excluding the five (5) DLCs </w:t>
      </w:r>
      <w:r>
        <w:rPr>
          <w:rFonts w:ascii="Times New Roman;Times;Serif" w:hAnsi="Times New Roman;Times;Serif"/>
          <w:b w:val="false"/>
          <w:i w:val="false"/>
          <w:caps w:val="false"/>
          <w:smallCaps w:val="false"/>
          <w:sz w:val="20"/>
        </w:rPr>
        <w:t xml:space="preserve">(including any mini-packs or add-ons to such five (5) DLCs) and the non-canonical maps </w:t>
      </w:r>
      <w:r>
        <w:rPr>
          <w:rFonts w:ascii="Times New Roman;Times;Serif" w:hAnsi="Times New Roman;Times;Serif"/>
          <w:b w:val="false"/>
          <w:i w:val="false"/>
          <w:caps w:val="false"/>
          <w:smallCaps w:val="false"/>
          <w:sz w:val="20"/>
          <w:shd w:fill="FFFFFF" w:val="clear"/>
        </w:rPr>
        <w:t>that are included in ARK: Survival Ascended as of the Second Amendment Effective Date. Such DLC shall be agreed to by the Parties pursuant to Section 3.02(a).</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Limitation of Amendment</w:t>
      </w:r>
      <w:r>
        <w:rPr>
          <w:rFonts w:ascii="Times New Roman;Times;Serif" w:hAnsi="Times New Roman;Times;Serif"/>
          <w:b w:val="false"/>
          <w:i w:val="false"/>
          <w:caps w:val="false"/>
          <w:smallCaps w:val="false"/>
          <w:sz w:val="20"/>
        </w:rPr>
        <w:t>. Except as specifically set forth herein, this Second Amendment shall not be deemed to waive, amend or modify any term or condition of the Existing Agreement, which is hereby ratified and reaffirmed and which shall remain in full force and effect according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Second Amendment may be executed and delivered in two or more counterparts, each of which shall be deemed an original, and all of which shall be deemed to constitute one and the same agreement. An executed counterpart of this Second Amendment delivered by fax or other means of electronic communications, including DocuSign, and shall be deemed to be an original and shall be as effective for all purposes as delivery of a manually executed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Second Amendment as of the date first written above.</w:t>
      </w:r>
    </w:p>
    <w:p>
      <w:pPr>
        <w:pStyle w:val="TextBody"/>
        <w:bidi w:val="0"/>
        <w:spacing w:before="0" w:after="0"/>
        <w:ind w:left="720" w:right="0" w:hanging="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GAMES USA,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Tsai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SDE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Zhou Ying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57" w:name="ex10-38.htm"/>
      <w:bookmarkStart w:id="1558" w:name="ksex1038"/>
      <w:bookmarkEnd w:id="1557"/>
      <w:bookmarkEnd w:id="155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Offset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Party A</w:t>
      </w:r>
      <w:r>
        <w:rPr>
          <w:rFonts w:ascii="Times New Roman;Times;Serif" w:hAnsi="Times New Roman;Times;Serif"/>
          <w:b w:val="false"/>
          <w:i w:val="false"/>
          <w:caps w:val="false"/>
          <w:smallCaps w:val="false"/>
          <w:sz w:val="20"/>
        </w:rPr>
        <w:t>: Snail Games USA, Inc. (“Snail”), a California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Party B</w:t>
      </w:r>
      <w:r>
        <w:rPr>
          <w:rFonts w:ascii="Times New Roman;Times;Serif" w:hAnsi="Times New Roman;Times;Serif"/>
          <w:b w:val="false"/>
          <w:i w:val="false"/>
          <w:caps w:val="false"/>
          <w:smallCaps w:val="false"/>
          <w:sz w:val="20"/>
        </w:rPr>
        <w:t>: SDE Inc. (“SDE”), a California corporation. SDE is controlled by Zhou Ying, the spouse of Mr. Shi, Snail’s Founder, Chief Strategy Officer, and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“Amended and Restated Exclusive Software License Agreement” effective as of January 1, 2022, “Amendment No. 1 to Amended and Restated Exclusive Software License Agreement” effective as of December 13, 2022, and “Amendment No. 2 to Amended and Restated Exclusive Software License Agreement” effective as of October 1, 2023, in the forms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respectively. [Capitalized terms used and not defined herein have the respective meanings assigned to them in Amendment No. 2 to Amended and Restated Exclusive Software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has confirmed that SDE owes Snail approximately $13.5 million (rounded) at September 30, 2023 (the “Payable”). The Payable reflects the accounts receivable amount due and owing from SDE to Snail in connection with the ordinary course of business attributable to certain mobile game revenues that, for administrative reasons, are collected by SDE and that SDE has not remitted back to Snail. Effective January 1, 2024 (the “Effective Date”), SDE consents to Snail’s legal right to offset $500,000 monthly license against the amounts SDE owed to Snail.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Offset Agreement will be governed by the laws of the State of California.</w:t>
      </w:r>
    </w:p>
    <w:p>
      <w:pPr>
        <w:pStyle w:val="TextBody"/>
        <w:bidi w:val="0"/>
        <w:spacing w:before="0" w:after="0"/>
        <w:ind w:left="0" w:right="0" w:hanging="0"/>
        <w:jc w:val="left"/>
        <w:rPr>
          <w:caps w:val="false"/>
          <w:smallCaps w:val="false"/>
        </w:rPr>
      </w:pPr>
      <w:r>
        <w:rPr>
          <w:caps w:val="false"/>
          <w:smallCaps w:val="false"/>
        </w:rPr>
        <w:t> </w:t>
      </w:r>
    </w:p>
    <w:tbl>
      <w:tblPr>
        <w:tblW w:w="3504" w:type="dxa"/>
        <w:jc w:val="left"/>
        <w:tblInd w:w="0" w:type="dxa"/>
        <w:tblLayout w:type="fixed"/>
        <w:tblCellMar>
          <w:top w:w="0" w:type="dxa"/>
          <w:left w:w="0" w:type="dxa"/>
          <w:bottom w:w="0" w:type="dxa"/>
          <w:right w:w="0" w:type="dxa"/>
        </w:tblCellMar>
      </w:tblPr>
      <w:tblGrid>
        <w:gridCol w:w="1267"/>
        <w:gridCol w:w="1287"/>
        <w:gridCol w:w="60"/>
        <w:gridCol w:w="890"/>
      </w:tblGrid>
      <w:tr>
        <w:trPr/>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Snail Games USA,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7"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w:t>
            </w:r>
          </w:p>
        </w:tc>
        <w:tc>
          <w:tcPr>
            <w:tcW w:w="1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Jim Tsai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1/18/2024</w:t>
            </w:r>
          </w:p>
        </w:tc>
      </w:tr>
      <w:tr>
        <w:trPr/>
        <w:tc>
          <w:tcPr>
            <w:tcW w:w="1267"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SDE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7"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w:t>
            </w:r>
          </w:p>
        </w:tc>
        <w:tc>
          <w:tcPr>
            <w:tcW w:w="12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1/18/2024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59" w:name="ex10-39.htm"/>
      <w:bookmarkStart w:id="1560" w:name="ksex1039"/>
      <w:bookmarkEnd w:id="1559"/>
      <w:bookmarkEnd w:id="156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AMENDMENT TO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FIFTH AMENDMENT TO LOAN DOCUMENTS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dated as of March 16, 2026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among SNAIL GAMES USA INC., a California corporation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HAI SHI, an individual, also known as Shi Hai (“</w:t>
      </w:r>
      <w:r>
        <w:rPr>
          <w:rFonts w:ascii="Times New Roman;Times;Serif" w:hAnsi="Times New Roman;Times;Serif"/>
          <w:b w:val="false"/>
          <w:i w:val="false"/>
          <w:caps w:val="false"/>
          <w:smallCaps w:val="false"/>
          <w:sz w:val="20"/>
          <w:u w:val="single"/>
        </w:rPr>
        <w:t>Shi</w:t>
      </w:r>
      <w:r>
        <w:rPr>
          <w:rFonts w:ascii="Times New Roman;Times;Serif" w:hAnsi="Times New Roman;Times;Serif"/>
          <w:b w:val="false"/>
          <w:i w:val="false"/>
          <w:caps w:val="false"/>
          <w:smallCaps w:val="false"/>
          <w:sz w:val="20"/>
        </w:rPr>
        <w:t>”), and YING ZHOU, an individual (“</w:t>
      </w:r>
      <w:r>
        <w:rPr>
          <w:rFonts w:ascii="Times New Roman;Times;Serif" w:hAnsi="Times New Roman;Times;Serif"/>
          <w:b w:val="false"/>
          <w:i w:val="false"/>
          <w:caps w:val="false"/>
          <w:smallCaps w:val="false"/>
          <w:sz w:val="20"/>
          <w:u w:val="single"/>
        </w:rPr>
        <w:t>Zhou</w:t>
      </w:r>
      <w:r>
        <w:rPr>
          <w:rFonts w:ascii="Times New Roman;Times;Serif" w:hAnsi="Times New Roman;Times;Serif"/>
          <w:b w:val="false"/>
          <w:i w:val="false"/>
          <w:caps w:val="false"/>
          <w:smallCaps w:val="false"/>
          <w:sz w:val="20"/>
        </w:rPr>
        <w:t>”, and together with Shi, individually and collectively,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on the one hand, and CATHAY BANK, a California banking corporation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on the other hand.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has heretofore extended to Borrower (i) a term loan in the original principal amount of Ten Million and No/100 Dollars ($10,000,000.00) (the “</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and (ii) a revolving line of credit in the maximum principal amount of Six Million and No/100 Dollars ($6,000,000.00) (the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and together with the Term Loan, individually and collectively, the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is the current holder of, without limitation, the following documents evidencing and/or securing the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 Amended and Restated Loan and Security Agreement dated June 21, 2023, executed by Borrower and Lender (together with any and all amendments thereto or modifications thereof,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which Loan Agreement amended and restated in its entirety that certain Second Amended and Restated Revolving Loan and Security Agreement dated as of January 26, 2022 executed by and between Borrower and Lender, and which Loan Agreement granted to Lender a security interest in the Collateral (as defined in the Loan Agreement) to secure Borrower’s obligations to Lender in connection with the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Promissory Note dated January 26, 2022, in the original principal amount of Ten Million and No/100 Dollars ($10,000,000.00), executed by Borrower in favor of Lender (together with any and all amendments thereto or modifications or extensions thereof, the “</w:t>
      </w:r>
      <w:r>
        <w:rPr>
          <w:rFonts w:ascii="Times New Roman;Times;Serif" w:hAnsi="Times New Roman;Times;Serif"/>
          <w:b w:val="false"/>
          <w:i w:val="false"/>
          <w:caps w:val="false"/>
          <w:smallCaps w:val="false"/>
          <w:sz w:val="20"/>
          <w:u w:val="single"/>
        </w:rPr>
        <w:t>Term Note</w:t>
      </w:r>
      <w:r>
        <w:rPr>
          <w:rFonts w:ascii="Times New Roman;Times;Serif" w:hAnsi="Times New Roman;Times;Serif"/>
          <w:b w:val="false"/>
          <w:i w:val="false"/>
          <w:caps w:val="false"/>
          <w:smallCaps w:val="false"/>
          <w:sz w:val="20"/>
        </w:rPr>
        <w:t>”), which Term Note evidences the Term Loan;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Second Amended and Restated Promissory Note dated June 21, 2023, in the maximum principal amount of Six Million and No/100 Dollars ($6,000,000.00), executed by Borrower in favor of Lender (together with any and all amendments thereto or modifications or extensions thereof, the “</w:t>
      </w:r>
      <w:r>
        <w:rPr>
          <w:rFonts w:ascii="Times New Roman;Times;Serif" w:hAnsi="Times New Roman;Times;Serif"/>
          <w:b w:val="false"/>
          <w:i w:val="false"/>
          <w:caps w:val="false"/>
          <w:smallCaps w:val="false"/>
          <w:sz w:val="20"/>
          <w:u w:val="single"/>
        </w:rPr>
        <w:t>Revolving Note</w:t>
      </w:r>
      <w:r>
        <w:rPr>
          <w:rFonts w:ascii="Times New Roman;Times;Serif" w:hAnsi="Times New Roman;Times;Serif"/>
          <w:b w:val="false"/>
          <w:i w:val="false"/>
          <w:caps w:val="false"/>
          <w:smallCaps w:val="false"/>
          <w:sz w:val="20"/>
        </w:rPr>
        <w:t>”, and together with the Term Note, individually and collectively, the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which Revolving Note evidences the Revolving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order to induce Lender to make the Loan, each Guarantor executed and delivered to and in favor of Lender a Continuing Guaranty dated June 21, 2023 (together with any and all amendments thereto or modifications thereof, individually and collectively, the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Lender perfected its security interest in and to the Collateral by causing to be filed (i) a UCC-1 financing statement with the Secretary of State of California on October 8, 2018, as Filing No. 187674427824, and (ii) a UCC-1 financing statement with the Secretary of State of California on July 2, 2021, as Filing No. U210063023418. Lender has a first priority security interest in the Collateral that is duly perfected under applicable law.</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Guarantor and Lender entered into that certain First Amendment to Loan Documents dated December 28, 2023 (“</w:t>
      </w:r>
      <w:r>
        <w:rPr>
          <w:rFonts w:ascii="Times New Roman;Times;Serif" w:hAnsi="Times New Roman;Times;Serif"/>
          <w:b w:val="false"/>
          <w:i w:val="false"/>
          <w:caps w:val="false"/>
          <w:smallCaps w:val="false"/>
          <w:sz w:val="20"/>
          <w:u w:val="single"/>
        </w:rPr>
        <w:t>First Amendment</w:t>
      </w:r>
      <w:r>
        <w:rPr>
          <w:rFonts w:ascii="Times New Roman;Times;Serif" w:hAnsi="Times New Roman;Times;Serif"/>
          <w:b w:val="false"/>
          <w:i w:val="false"/>
          <w:caps w:val="false"/>
          <w:smallCaps w:val="false"/>
          <w:sz w:val="20"/>
        </w:rPr>
        <w:t>”), whereby, among other things, Lender agreed to extend the Revolving Maturity Date of the Revolving Loan to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Borrower, Guarantor and Lender entered into that certain Second Amendment to Loan Documents dated December 31, 2024 (“</w:t>
      </w:r>
      <w:r>
        <w:rPr>
          <w:rFonts w:ascii="Times New Roman;Times;Serif" w:hAnsi="Times New Roman;Times;Serif"/>
          <w:b w:val="false"/>
          <w:i w:val="false"/>
          <w:caps w:val="false"/>
          <w:smallCaps w:val="false"/>
          <w:sz w:val="20"/>
          <w:u w:val="single"/>
        </w:rPr>
        <w:t>Second Amendment</w:t>
      </w:r>
      <w:r>
        <w:rPr>
          <w:rFonts w:ascii="Times New Roman;Times;Serif" w:hAnsi="Times New Roman;Times;Serif"/>
          <w:b w:val="false"/>
          <w:i w:val="false"/>
          <w:caps w:val="false"/>
          <w:smallCaps w:val="false"/>
          <w:sz w:val="20"/>
        </w:rPr>
        <w:t>”), whereby, among other things, Lender agreed to extend the Revolving Maturity Date of the Revolving Loan to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Guarantor and Lender entered into that certain Third Amendment to Loan Documents dated June 10, 2025 (“</w:t>
      </w:r>
      <w:r>
        <w:rPr>
          <w:rFonts w:ascii="Times New Roman;Times;Serif" w:hAnsi="Times New Roman;Times;Serif"/>
          <w:b w:val="false"/>
          <w:i w:val="false"/>
          <w:caps w:val="false"/>
          <w:smallCaps w:val="false"/>
          <w:sz w:val="20"/>
          <w:u w:val="single"/>
        </w:rPr>
        <w:t>Third Amendment</w:t>
      </w:r>
      <w:r>
        <w:rPr>
          <w:rFonts w:ascii="Times New Roman;Times;Serif" w:hAnsi="Times New Roman;Times;Serif"/>
          <w:b w:val="false"/>
          <w:i w:val="false"/>
          <w:caps w:val="false"/>
          <w:smallCaps w:val="false"/>
          <w:sz w:val="20"/>
        </w:rPr>
        <w:t>”), whereby, among other things, Lender agreed to (i) extend the Revolving Maturity Date of the Revolving Loan to June 30, 2026, (ii) modify the interest rate applicable to the Revolving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Borrower, Guarantor and Lender entered into that certain Fourth Amendment to Loan Documents dated January 2, 2026 (“</w:t>
      </w:r>
      <w:r>
        <w:rPr>
          <w:rFonts w:ascii="Times New Roman;Times;Serif" w:hAnsi="Times New Roman;Times;Serif"/>
          <w:b w:val="false"/>
          <w:i w:val="false"/>
          <w:caps w:val="false"/>
          <w:smallCaps w:val="false"/>
          <w:sz w:val="20"/>
          <w:u w:val="single"/>
        </w:rPr>
        <w:t>Fourth Amendment</w:t>
      </w:r>
      <w:r>
        <w:rPr>
          <w:rFonts w:ascii="Times New Roman;Times;Serif" w:hAnsi="Times New Roman;Times;Serif"/>
          <w:b w:val="false"/>
          <w:i w:val="false"/>
          <w:caps w:val="false"/>
          <w:smallCaps w:val="false"/>
          <w:sz w:val="20"/>
        </w:rPr>
        <w:t>”), whereby, among other things, Lender agreed to (i) waive the DSCR Default (as defined therein), (ii) decrease the maximum principal amount of the Revolving Loan to $5,000,000.00, (iii) accept additional real property and deposit account collateral from the Borrower to secure the Loan, and (iv) make certain other modifications to the Loan Documents as more particularly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Pursuant to the Fourth Amendment, and as additional security for the indebtedness and obligations under the Loan, Borrower executed that certain Deed of Trust, Assignment of Rents, Security Agreement and Fixture Filing dated as of January 2, 2026, (“</w:t>
      </w:r>
      <w:r>
        <w:rPr>
          <w:rFonts w:ascii="Times New Roman;Times;Serif" w:hAnsi="Times New Roman;Times;Serif"/>
          <w:b w:val="false"/>
          <w:i w:val="false"/>
          <w:caps w:val="false"/>
          <w:smallCaps w:val="false"/>
          <w:sz w:val="20"/>
          <w:u w:val="single"/>
        </w:rPr>
        <w:t>Deed of Trust</w:t>
      </w:r>
      <w:r>
        <w:rPr>
          <w:rFonts w:ascii="Times New Roman;Times;Serif" w:hAnsi="Times New Roman;Times;Serif"/>
          <w:b w:val="false"/>
          <w:i w:val="false"/>
          <w:caps w:val="false"/>
          <w:smallCaps w:val="false"/>
          <w:sz w:val="20"/>
        </w:rPr>
        <w:t>”) in favor of Lender, encumbering, without limitation, certain real property, more particularly described in Exhibit “A” attached hereto and incorporated herein by this reference (as more particularly described therein, the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with a security interest in favor of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Pursuant to the Fourth Amendment, Pursuant to the Fourth Amendment, and as additional security for the indebtedness and obligations under the Loan, Borrower pledged the Reserve Account (as defined therein) to Lender pursuant to that certain Security Agreement (Assignment of Deposit Account) dated as of January 2, 2026 (“</w:t>
      </w:r>
      <w:r>
        <w:rPr>
          <w:rFonts w:ascii="Times New Roman;Times;Serif" w:hAnsi="Times New Roman;Times;Serif"/>
          <w:b w:val="false"/>
          <w:i w:val="false"/>
          <w:caps w:val="false"/>
          <w:smallCaps w:val="false"/>
          <w:sz w:val="20"/>
          <w:u w:val="single"/>
        </w:rPr>
        <w:t>Assignment of Deposit Account</w:t>
      </w:r>
      <w:r>
        <w:rPr>
          <w:rFonts w:ascii="Times New Roman;Times;Serif" w:hAnsi="Times New Roman;Times;Serif"/>
          <w:b w:val="false"/>
          <w:i w:val="false"/>
          <w:caps w:val="false"/>
          <w:smallCaps w:val="false"/>
          <w:sz w:val="20"/>
        </w:rPr>
        <w:t>”), by Borrower, in favor of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This Amendment, the Loan Agreement, the Note, the Guaranty, First Amendment, Second Amendment, Third Amendment, Fourth Amendment, Deed of Trust, Assignment of Deposit Account, and any and all other documents executed or delivered in connection therewith or otherwise in connection with the Loan, together with any and all amendments thereto or modifications or extensions thereof, are at times hereafter referred to collectively as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Borrower and Guarantor have now requested that Lender agree to (i) extend the Maturity Date of the Revolving Loan, (ii) convert the Revolving Loan to a term loan on March 31, 2027, and (iii) make certain other modifications to the Loan Documents as more particularly set forth herein. Lender is willing to agree to said requests, subject to the terms and conditions set forth in this Amendment.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the parties hereto do hereby agree as follows:</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 Definitions</w:t>
      </w:r>
      <w:r>
        <w:rPr>
          <w:rFonts w:ascii="Times New Roman;Times;Serif" w:hAnsi="Times New Roman;Times;Serif"/>
          <w:b w:val="false"/>
          <w:i w:val="false"/>
          <w:caps w:val="false"/>
          <w:smallCaps w:val="false"/>
          <w:sz w:val="20"/>
        </w:rPr>
        <w:t>. The recitals are incorporated herein by this reference as are all exhibits. Borrower and Guarantor agree and acknowledge that the factual information recited above is true and correct. Except as may be otherwise expressly defined in this Amendment, all terms used in this Amendment beginning with a capital letter shall have the meanings ascribed to them in the Loan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Borrower and Guarantor Acknowledgment as to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acknowledge and confirm that as of March 15, 2026, the total principal amount owing to Lender on the Term Note is $0.00, plus accrued and unpaid interest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Guarantor, and each of them, acknowledge and confirm that as of March 15, 2026 the total principal amount owing to Lender on the Revolving Note is $2,500,000.00, plus accrued and unpaid interest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Guarantor, and each of them, specifically acknowledge and confirm that they do not have any valid offset or defense to the obligations, indebtedness and liability under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Shi acknowledges and agrees that any and all references to “Hai Shi, an individual” in the Guaranty, and in any and all other Loan Documents, shall mean “Hai Shi, an individual, also known as Shi Hai”, and hereby reaffirms any and all of Shi’s obligations under his applicable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Reaffirmation of Obligations</w:t>
      </w:r>
      <w:r>
        <w:rPr>
          <w:rFonts w:ascii="Times New Roman;Times;Serif" w:hAnsi="Times New Roman;Times;Serif"/>
          <w:b w:val="false"/>
          <w:i w:val="false"/>
          <w:caps w:val="false"/>
          <w:smallCaps w:val="false"/>
          <w:sz w:val="20"/>
        </w:rPr>
        <w:t>. This Amendment is, in part, a reaffirmation of the obligations, indebtedness and liability of Borrower and Guarantor to Lender as evidenced by the Note, Loan Agreement, Guaranty, and the other Loan Documents. Therefore, Borrower and Guarantor represent, warrant, acknowledge and agree that, except as specified herein, all of the terms and conditions of the Loan Documents are and shall remain in full force and effect, without waiver or modification of any kind whatsoever, and are ratified and confirmed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Extension of the Revolving 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Revolving Maturity Date is hereby extended to March 31, 2030, at which time the entire principal balance under the Revolving Loan plus all accrued and unpaid interest thereon is and shall be due and payable as provided under the Loan Documents. Any and All references in the Loan Documents to the “Revolving Maturity Date” shall mean March 31, 2030. For the avoidance of doubt, the Revolving Loan shall convert to a term loan on March 31, 2027, at which time the Borrower shall not longer be permitted to request Advances of loan proceeds under Revolving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Amendment to the Loan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 of “Conversion Date” is hereby added to Section 1.1 of the Loan Agreement to state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mean March 31, 2027.”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2.1(a) of the Loan Agreement is hereby deleted in its entirety and replaced with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Subject to the terms and conditions contained herein, Lender will make Advances to Borrower from the Closing Date until the Conversion Date, which may be borrowed, repaid and reborrowed, in aggregate amounts outstanding at any one time equal to (i) the Maximum Advance Amount, less (ii) the outstanding Advances, minus such reserves as Lender may reasonably deem proper and appropriate from time to time (the ‘</w:t>
      </w:r>
      <w:r>
        <w:rPr>
          <w:rFonts w:ascii="Times New Roman;Times;Serif" w:hAnsi="Times New Roman;Times;Serif"/>
          <w:b w:val="false"/>
          <w:i w:val="false"/>
          <w:caps w:val="false"/>
          <w:smallCaps w:val="false"/>
          <w:sz w:val="20"/>
          <w:u w:val="single"/>
        </w:rPr>
        <w:t>Revolving Line of Credit</w:t>
      </w:r>
      <w:r>
        <w:rPr>
          <w:rFonts w:ascii="Times New Roman;Times;Serif" w:hAnsi="Times New Roman;Times;Serif"/>
          <w:b w:val="false"/>
          <w:i w:val="false"/>
          <w:caps w:val="false"/>
          <w:smallCaps w:val="false"/>
          <w:sz w:val="20"/>
        </w:rPr>
        <w:t>’). At the Conversion Date, the Revolving Line of Credit shall be converted to a term loan, and thereafter, Borrower shall no longer be permitted to request Revolving Advances from Lender hereunder and any amounts or Advances Borrower has repaid will not be able to be reborrowed. After the Conversion Date, in addition to the regularly scheduled payments of interest due under the Revolving Line of Credit, Borrower shall be required to make monthly installment payments of principal amortized over a thirty-six (36) month period, as more particularly set forth in the Revolving Note.”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Amendment to the Note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section entitled “PRINCIPAL AND INTEREST PAYMENTS” of the Note is here by deleted in its entirety and replaced with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PRINCIPAL AND INTEREST PAYMENTS</w:t>
      </w:r>
      <w:r>
        <w:rPr>
          <w:rFonts w:ascii="Times New Roman;Times;Serif" w:hAnsi="Times New Roman;Times;Serif"/>
          <w:b w:val="false"/>
          <w:i w:val="false"/>
          <w:caps w:val="false"/>
          <w:smallCaps w:val="false"/>
          <w:sz w:val="20"/>
        </w:rPr>
        <w:t>. Interest shall be due and payable monthly, in arrears, based upon the actual number of days elapsed for that monthly period, commencing on March 31, 2026, and shall continue to be due and payable, in arrears, on the last day of each and every calendar month thereafter (each, a ‘</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until the Maturity Date (as hereinafter defined). Borrower understands that Lender is entitled to a minimum interest charge of $100.00. per month.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first Payment Date after the Conversion Date, and continuing on each and every Payment Date thereafter until the Maturity Date, Borrower shall pay the unpaid obligation in accordance with the following payment schedule, which calculates the interest on the unpaid principal balance using the Note Rate: beginning on the first Payment Date after the Conversion Date and continue in each Payment Date thereafter, thirty-five (35) consecutive principal and interest payments, with interest calculated on the unpaid principal balance using the Note Rate; and one (1) principal and interest payment on the Maturity Date, with interest calculated on the unpaid principal balance using the Note Rate. The final payment will be for all principal and accrued interest not yet paid, together with any other unpaid amounts under this Note. Borrower acknowledges and agrees that the regularly scheduled monthly principal and interest payments will be calculated based upon an amortization period of thirty-six (36) months calculated from the Conversion Date based upon the Note Rate (the ‘</w:t>
      </w:r>
      <w:r>
        <w:rPr>
          <w:rFonts w:ascii="Times New Roman;Times;Serif" w:hAnsi="Times New Roman;Times;Serif"/>
          <w:b w:val="false"/>
          <w:i w:val="false"/>
          <w:caps w:val="false"/>
          <w:smallCaps w:val="false"/>
          <w:sz w:val="20"/>
          <w:u w:val="single"/>
        </w:rPr>
        <w:t>Pay Rate</w:t>
      </w:r>
      <w:r>
        <w:rPr>
          <w:rFonts w:ascii="Times New Roman;Times;Serif" w:hAnsi="Times New Roman;Times;Serif"/>
          <w:b w:val="false"/>
          <w:i w:val="false"/>
          <w:caps w:val="false"/>
          <w:smallCaps w:val="false"/>
          <w:sz w:val="20"/>
        </w:rPr>
        <w:t>’), and calculated in accordance with Lender’s then policies and practices. The amount of the monthly installments of principal and interest payment shall be based on an amount which would result in the full payment of the then outstanding balance of this Note at the Pay Rate thirty-six (36) months from the Conversion Date.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Maturity Date, the entire unpaid obligation outstanding under this Note, the Loan Agreement, and any other Loan Documents shall become due and payable in full.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including payments of principal and/or interest, shall be made to Lender in United States Dollars and shall be in the form of immediately available funds acceptable to the holder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Amendment as a Loan Document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Date of this Amendment, this Amendment and any other documents and instruments executed in connection herewith shall each constitute one of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Effective Date of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the amendments provided for herein shall be effective as of the Effective Date, subject to the timely and complete satisfaction of each and all of the conditions precedent set forth in Section 11, below, of this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Borrower’s and Guarantor’s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Guarantor hereby represent and warrant to Lender and covenant and agree with Lender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have full legal right, power and authority to enter into and perform this Amendment. The execution and delivery of this Amendment by Borrower and Guarantor, and the consummation by Borrower and Guarantor of the transactions contemplated hereby have been duly authorized by all necessary action by or on behalf of Borrower and/or Guarantor. This Amendment is a valid and binding obligation of Borrower and Guarantor, and each of them, enforceable against Borrower and Guarantor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Borrower and/or Guarantor, and the performance by Borrower and/or Guarantor of all their respective obligations hereunder do not and will not result in a breach of or constitute a default under, or cause or permit the acceleration of any obligation owed or required under, any other agreement, lease, or instrument to which Borrower and/or Guarantor is a party or by which Borrower’s and/or Guarantor’s properties are bound or affected.</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actions, suits or proceedings pending, or to the knowledge of Borrower and/or Guarantor threatened against or affecting Borrower and/or Guarantor in relation to their obligations to Lender or involving the validity and enforceability of this Amendment, the Loan Agreement, or any of the other Loan Documents, as applicable, or the priority of any liens given by Borrower to Lender in accordance with the Note, the Loan Agreement, and the other Loan Documents, at Law or in equity, or before or by any Governmental Agency, or which could have a material adverse effect on the financial condition, operations, properties, assets, liabilities or earnings of Borrower and/or Guarantor, or the ability of Borrower and/or Guarantor to perform their respective obligations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hereby reaffirm and confirm that the representations and warranties of Borrower and Guarantor contained in the Loan Documents are true, correct and complete in all material respects as of the Effective Date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Guarantor are in full and complete compliance with the terms, covenants, provisions and conditions of the Note, the Loan Agreement, the Guaranty,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representations and warranties of Borrower and Guarantor herein are incorporated by reference and hereby made a part of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shall be expressly conditioned upon the following having occurred or Lender having received, by no later than March 23, 2026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all of the following, in form and content satisfactory to Lender and its counsel, in their sole and absolute opinion and judgment, and suitable for filing or recording, as the case may be,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fully executed by Borrower and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pay a loan fee to Lender, with Borrower’s own immediately available funds, in an amount equal to Seven Thousand Five Hundred and No/100 Dollars ($7,500.00), which shall be deemed non-refundable upon Lender’s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from Borrower’s own immediately available funds, of the fees and costs of Lender in connection with the preparation, negotiation, administration and execution of this Amendment and all documents in connection therewith, including, but not limited to, attorneys’ fees and other costs and fees of other professionals retained by Lender;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additional assignments, agreements, certificates, reports, approvals, instruments, documents, subordination agreements, financing statements, resolutions, authorizations, consents and opinions as Lender may request, in its sole opinion and judgment, in connection with this Amendment.</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binding upon and inure to the benefit of Lender, Borrower and their respective successors and assigns, except that Borrower and Guarantor may not assign their rights hereunder or any interest therein without the prior written consent of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General Release of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Guarantor, and each of them, on behalf of themselves, their respective successors, heirs and assigns, and each of them (for purposes of this Section 13, hereinafter referred to individually and collectively as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do each hereby forever relieve, release, acquit and discharge Lender and its predecessors, successors and assigns, and their respective past and present attorneys, accountants, insurers, representatives, affiliates, partners, subsidiaries, officers, employees, directors, and shareholders, and each of them (collectively, the “Released Parties”), from any and all claims, debts, liabilities, demands, obligations, promises, acts, agreements, costs and expenses (including, but not limited to, attorneys’ fees), damages, injuries, actions and causes of action, of whatever kind or nature, whether legal or equitable, known or unknown, suspected or unsuspected, contingent or fixed, which the Releasing Parties, or any of them, now own or hold or have at any time heretofore owned or held or may at any time hereafter own or hold against the Released Parties, or any of them, by reason of any acts, facts, transactions or any circumstances whatsoever occurring or existing through the date of this Agreement, including, but not limited to, those based upon, arising out of, appertaining to, or in connection with the Recitals above, the Loan, the Loan Documents, the facts pertaining to this Agreement, including, but not limited to, the modification and assumption of the Loan Documents contemplated herein, any collateral heretofore granted to Lender or granted in connection herewith (including, without limitation, the Property and the Collateral), or to any other obligations of the Releasing Parties, or any of them, to Lender, and the lending arrangements between Lender, Borrower, and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Releasing Parties waive all rights under Section 1542 of the Civil Code of the State of California, which each understands provides as follows: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Releasing Parties each expressly waive and release any right or benefit which they have or may have under Section 1542 of the Civil Code of the State of California, and any similar law of any state, territory, commonwealth or possession of the United States, or the United States, to the full extent that they may waive all such rights and benefits pertaining to the matters released herein. In connection with such waiver and relinquishment, each of the Releasing Parties acknowledge that they are aware that they may hereafter discover claims presently unknown or unsuspected, or facts in addition to or different from those which they now know or believe to be true. Nevertheless, it is the intention of the Releasing Parties, through this Agreement, to fully, finally and forever release all such matters, and all claims relative thereto, which do now exist, may exist, or heretofore have existed. In furtherance of such intention, the release herein given shall be and remain in effect as a full and complete release of such matters notwithstanding the discovery or existence of any such additional or different claims or facts relative thereto.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Releasing Parties are the sole and lawful owners of all right, title and interest in and to every claim and other matter which they purport to release herein, and they have not heretofore assigned or transferred, or purported to assign or transfer to any person or entity claims or other matters herein released. Each of the Releasing Parties shall indemnify, defend and hold Lender and each of the other Released Parties, and each of them, harmless from and against any claims, liabilities, actions, causes of action, demands, injuries, costs, and expenses (including, but not limited to, attorneys’ fees), based upon or arising in connection with any such prior assignment or transfer, or any such purported assignment or transfer, or any claims or other matters released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Joint Venture, Management and Control</w:t>
      </w:r>
      <w:r>
        <w:rPr>
          <w:rFonts w:ascii="Times New Roman;Times;Serif" w:hAnsi="Times New Roman;Times;Serif"/>
          <w:b w:val="false"/>
          <w:i w:val="false"/>
          <w:caps w:val="false"/>
          <w:smallCaps w:val="false"/>
          <w:sz w:val="20"/>
        </w:rPr>
        <w:t>. Notwithstanding any provision of this Amendment and/or of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is not and shall not be construed to be a partner, joint venture, alter ego, manager, controlling person or other business associate or participant of any kind of Borrower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shall not be deemed responsible to perform or participate in any acts, omissions, or decisions of Borrower, Guarantor or any of them;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Guarantor, and each of them, do not have any claims, causes of action, or defenses to their obligations to Lender based on any allegations of management or control exercised by Lender. Borrower and Guarantor, and each of them, acknowledge and agree that Lender does not manage or control them in any 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headings used in this Amendment are for convenience only and shall not affect the construction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Amendment may be executed in one or more counterparts but all of the counterparts shall constitute one agreement; provided, however, this Amendment shall not be effective and enforceable unless and until it is executed by all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and the other documents and instruments executed in connection therewith constitute the product of the negotiation of the parties hereto and the enforcement hereof shall be interpreted in a neutral manner, and not more strongly for or against any party based upon the source of the draftsmanship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is not a novation, nor, except as expressly provided in this Amendment, is it to be construed as a release or modification of any of the terms, conditions, warranties, waivers or rights set forth in the Loan Documents. Except as expressly provided in this Amendment, nothing contained in this Amendment shall be deemed to (i) constitute a waiver by Lender of any required performance by Borrower and Guarantor, (ii) constitute a waiver by Lender of any breach or default by Borrower and/or Guarantor that has heretofore existed, now exists or may hereafter arise under the Loan Agreement and/or any of the other Loan Documents, or (iii) require any extension other than any extension which is specifically agreed to herein by Lender or otherwise provided for in the Loan Documents, and no other extension is to be implied from the language used herein, by operation of Law, or otherwise. In the event there is a conflict in any term, condition or provision of this Amendment, on the one hand, and the Note, the Loan Agreement, or any of the other Loan Documents, on the other hand, the terms, conditions and provisions of this Amendment are to control.</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and Guarantor represent and warrant as follows: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They have received, or have had the opportunity to receive, independent legal advice from attorneys of each of their choice with respect to the advisability of executing this Amendment and prior to the execution of this Amendment by Borrower and Guarantor, their attorneys reviewed this Amendment and discussed this Amendment with them and have made all desired changes;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expressly stated in this Amendment, neither Lender nor any other person or entity has made any statement or representation to Borrower or Guarantor regarding facts relied upon by any of them;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Borrower does not rely upon any statement, representation or promise of Lender or any other person or entity in executing this Amendment except as expressly stated in this Amendment;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terms of this Amendment are contractual and not a mere recital;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Amendment has been carefully read by, the contents hereof are known and understood by, and it is signed freely by Borrower and Guarantor;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and the releases contained herein are intended to be final and binding against Borrower and Guarantor, and Borrower and Guarantor, and each of them, acknowledge that Lender is expressly relying on the finality of this Amendment as a substantial, material factor inducing Lender’s execution of this Amendment. Borrower has the full right and authority to enter into this Amendment, and the officer, agent or other representative executing this Amendment on behalf of Borrower has the full right and authority to fully commit and bind it to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on the next page]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JUDICIAL REFERENCE</w:t>
      </w:r>
      <w:r>
        <w:rPr>
          <w:rFonts w:ascii="Times New Roman;Times;Serif" w:hAnsi="Times New Roman;Times;Serif"/>
          <w:b w:val="false"/>
          <w:i w:val="false"/>
          <w:caps w:val="false"/>
          <w:smallCaps w:val="false"/>
          <w:sz w:val="20"/>
        </w:rPr>
        <w:t>. The parties hereby agree that any claims, controversies, disputes, or questions of interpretation, whether legal or equitable, arising out of, concerning or related to the Loan Agreement, the Guaranty, this Amendment, and any and all Loan Documents executed by Borrower and Guarantor shall be heard by a single referee by consensual general judicial reference pursuant to the provisions of California Code of Civil Procedure Sections 638 et seq., who shall determine all issues of fact or law and to report a statement of decision. The referee shall also have the power to hear and determine proceedings for ancillary relief, including, but not limited to, applications for attachment, issuance of injunctive relief, appointment of a receiver, and/or claim and delivery. The costs of the proceeding shall be borne equally by the parties to the dispute, subject to the discretion of the referee to allocate such costs based on a determination as to the prevailing party(ies) in the proceeding. All capitalized terms not otherwise defined herein shall have the meaning as defined in the Loan Agreement, and the Loan Documents,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referee shall be a retired Judge or Justice selected by mutual agreement of the parties. If the parties do not agree, then the referee shall be selected by the Judge of the Court. A request for appointment of a referee may be heard on any ex parte or expedited basis, and the parties agree that irreparable harm would result if the request for appointment of a referee is not heard on an ex parte or expedited basis. The referee shall be appointed to sit with all powers provided by law. Pending appointment of the referee, the Court has power to issue temporary or provisional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[INITIALS ON FOLLOWING PAGE]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initialing below the parties acknowledge that they have read and understand the foregoing Judicial Reference provisions and understand that they are waiving their right to a jury trial.</w:t>
      </w:r>
    </w:p>
    <w:p>
      <w:pPr>
        <w:pStyle w:val="TextBody"/>
        <w:bidi w:val="0"/>
        <w:spacing w:before="0" w:after="0"/>
        <w:ind w:left="0" w:right="0" w:hanging="0"/>
        <w:jc w:val="left"/>
        <w:rPr>
          <w:caps w:val="false"/>
          <w:smallCaps w:val="false"/>
        </w:rPr>
      </w:pPr>
      <w:r>
        <w:rPr>
          <w:caps w:val="false"/>
          <w:smallCaps w:val="false"/>
        </w:rPr>
        <w:t> </w:t>
      </w:r>
    </w:p>
    <w:tbl>
      <w:tblPr>
        <w:tblW w:w="3915" w:type="dxa"/>
        <w:jc w:val="center"/>
        <w:tblInd w:w="0" w:type="dxa"/>
        <w:tblLayout w:type="fixed"/>
        <w:tblCellMar>
          <w:top w:w="0" w:type="dxa"/>
          <w:left w:w="0" w:type="dxa"/>
          <w:bottom w:w="28" w:type="dxa"/>
          <w:right w:w="0" w:type="dxa"/>
        </w:tblCellMar>
      </w:tblPr>
      <w:tblGrid>
        <w:gridCol w:w="1535"/>
        <w:gridCol w:w="60"/>
        <w:gridCol w:w="1040"/>
        <w:gridCol w:w="60"/>
        <w:gridCol w:w="1220"/>
      </w:tblGrid>
      <w:tr>
        <w:trPr/>
        <w:tc>
          <w:tcPr>
            <w:tcW w:w="153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Initials</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Shi’s Initials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Zhou’s Initials</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Initials</w:t>
            </w:r>
          </w:p>
        </w:tc>
        <w:tc>
          <w:tcPr>
            <w:tcW w:w="6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1"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Effective Date set forth above.</w:t>
      </w:r>
    </w:p>
    <w:p>
      <w:pPr>
        <w:pStyle w:val="TextBody"/>
        <w:bidi w:val="0"/>
        <w:spacing w:before="0" w:after="0"/>
        <w:ind w:left="0" w:right="0" w:hanging="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35"/>
        <w:gridCol w:w="3034"/>
        <w:gridCol w:w="75"/>
      </w:tblGrid>
      <w:tr>
        <w:trPr/>
        <w:tc>
          <w:tcPr>
            <w:tcW w:w="3769"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GAMES USA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corporation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 Hai, also known as Hai Shi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 an individual, also known as Shi Hai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YING ZHOU, an individual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CATHAY BANK,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California banking corporation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3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03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3476" w:right="0" w:firstLine="5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124825" cy="224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3"/>
                    <a:stretch>
                      <a:fillRect/>
                    </a:stretch>
                  </pic:blipFill>
                  <pic:spPr bwMode="auto">
                    <a:xfrm>
                      <a:off x="0" y="0"/>
                      <a:ext cx="8124825" cy="2247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jc w:val="center"/>
        <w:rPr>
          <w:caps w:val="false"/>
          <w:smallCaps w:val="false"/>
        </w:rPr>
      </w:pPr>
      <w:r>
        <w:rPr>
          <w:caps w:val="false"/>
          <w:smallCaps w:val="false"/>
        </w:rPr>
        <w:t> </w:t>
      </w:r>
    </w:p>
    <w:p>
      <w:pPr>
        <w:pStyle w:val="TextBody"/>
        <w:bidi w:val="0"/>
        <w:jc w:val="left"/>
        <w:rPr/>
      </w:pPr>
      <w:bookmarkStart w:id="1561" w:name="ex21-1.htm"/>
      <w:bookmarkStart w:id="1562" w:name="ksex211"/>
      <w:bookmarkEnd w:id="1561"/>
      <w:bookmarkEnd w:id="156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4025"/>
        <w:gridCol w:w="2060"/>
      </w:tblGrid>
      <w:tr>
        <w:trPr/>
        <w:tc>
          <w:tcPr>
            <w:tcW w:w="4025" w:type="dxa"/>
            <w:tcBorders/>
            <w:vAlign w:val="center"/>
          </w:tcPr>
          <w:p>
            <w:pPr>
              <w:pStyle w:val="TableContents"/>
              <w:bidi w:val="0"/>
              <w:spacing w:before="0" w:after="283"/>
              <w:jc w:val="center"/>
              <w:rPr/>
            </w:pPr>
            <w:r>
              <w:rPr/>
              <w:t>Snail Games USA Inc.</w:t>
            </w:r>
          </w:p>
        </w:tc>
        <w:tc>
          <w:tcPr>
            <w:tcW w:w="2060" w:type="dxa"/>
            <w:tcBorders/>
            <w:vAlign w:val="center"/>
          </w:tcPr>
          <w:p>
            <w:pPr>
              <w:pStyle w:val="TableContents"/>
              <w:bidi w:val="0"/>
              <w:spacing w:before="0" w:after="283"/>
              <w:jc w:val="center"/>
              <w:rPr/>
            </w:pPr>
            <w:r>
              <w:rPr/>
              <w:t>California</w:t>
            </w:r>
          </w:p>
        </w:tc>
      </w:tr>
      <w:tr>
        <w:trPr/>
        <w:tc>
          <w:tcPr>
            <w:tcW w:w="4025" w:type="dxa"/>
            <w:tcBorders/>
            <w:vAlign w:val="center"/>
          </w:tcPr>
          <w:p>
            <w:pPr>
              <w:pStyle w:val="TableContents"/>
              <w:bidi w:val="0"/>
              <w:spacing w:before="0" w:after="283"/>
              <w:jc w:val="center"/>
              <w:rPr/>
            </w:pPr>
            <w:r>
              <w:rPr/>
              <w:t>Frostkeep Studios, Inc.</w:t>
            </w:r>
          </w:p>
        </w:tc>
        <w:tc>
          <w:tcPr>
            <w:tcW w:w="2060" w:type="dxa"/>
            <w:tcBorders/>
            <w:vAlign w:val="center"/>
          </w:tcPr>
          <w:p>
            <w:pPr>
              <w:pStyle w:val="TableContents"/>
              <w:bidi w:val="0"/>
              <w:spacing w:before="0" w:after="283"/>
              <w:jc w:val="center"/>
              <w:rPr/>
            </w:pPr>
            <w:r>
              <w:rPr/>
              <w:t>California</w:t>
            </w:r>
          </w:p>
        </w:tc>
      </w:tr>
      <w:tr>
        <w:trPr/>
        <w:tc>
          <w:tcPr>
            <w:tcW w:w="4025" w:type="dxa"/>
            <w:tcBorders/>
            <w:vAlign w:val="center"/>
          </w:tcPr>
          <w:p>
            <w:pPr>
              <w:pStyle w:val="TableContents"/>
              <w:bidi w:val="0"/>
              <w:spacing w:before="0" w:after="283"/>
              <w:jc w:val="center"/>
              <w:rPr/>
            </w:pPr>
            <w:r>
              <w:rPr/>
              <w:t>Eminence Corp.</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Wandering Wizard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Donkey Crew Limited Liability Company</w:t>
            </w:r>
          </w:p>
        </w:tc>
        <w:tc>
          <w:tcPr>
            <w:tcW w:w="2060" w:type="dxa"/>
            <w:tcBorders/>
            <w:vAlign w:val="center"/>
          </w:tcPr>
          <w:p>
            <w:pPr>
              <w:pStyle w:val="TableContents"/>
              <w:bidi w:val="0"/>
              <w:spacing w:before="0" w:after="283"/>
              <w:jc w:val="center"/>
              <w:rPr/>
            </w:pPr>
            <w:r>
              <w:rPr/>
              <w:t>Poland</w:t>
            </w:r>
          </w:p>
        </w:tc>
      </w:tr>
      <w:tr>
        <w:trPr/>
        <w:tc>
          <w:tcPr>
            <w:tcW w:w="4025" w:type="dxa"/>
            <w:tcBorders/>
            <w:vAlign w:val="center"/>
          </w:tcPr>
          <w:p>
            <w:pPr>
              <w:pStyle w:val="TableContents"/>
              <w:bidi w:val="0"/>
              <w:spacing w:before="0" w:after="283"/>
              <w:jc w:val="center"/>
              <w:rPr/>
            </w:pPr>
            <w:r>
              <w:rPr/>
              <w:t>Snail Innovation Institute</w:t>
            </w:r>
          </w:p>
        </w:tc>
        <w:tc>
          <w:tcPr>
            <w:tcW w:w="2060" w:type="dxa"/>
            <w:tcBorders/>
            <w:vAlign w:val="center"/>
          </w:tcPr>
          <w:p>
            <w:pPr>
              <w:pStyle w:val="TableContents"/>
              <w:bidi w:val="0"/>
              <w:spacing w:before="0" w:after="283"/>
              <w:jc w:val="center"/>
              <w:rPr/>
            </w:pPr>
            <w:r>
              <w:rPr/>
              <w:t>California</w:t>
            </w:r>
          </w:p>
        </w:tc>
      </w:tr>
      <w:tr>
        <w:trPr/>
        <w:tc>
          <w:tcPr>
            <w:tcW w:w="4025" w:type="dxa"/>
            <w:tcBorders/>
            <w:vAlign w:val="center"/>
          </w:tcPr>
          <w:p>
            <w:pPr>
              <w:pStyle w:val="TableContents"/>
              <w:bidi w:val="0"/>
              <w:spacing w:before="0" w:after="283"/>
              <w:jc w:val="center"/>
              <w:rPr/>
            </w:pPr>
            <w:r>
              <w:rPr/>
              <w:t>Project AWK Projections,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BTBX.IO,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Matrioshka Games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Interactive Films, LLC</w:t>
            </w:r>
          </w:p>
        </w:tc>
        <w:tc>
          <w:tcPr>
            <w:tcW w:w="2060" w:type="dxa"/>
            <w:tcBorders/>
            <w:vAlign w:val="center"/>
          </w:tcPr>
          <w:p>
            <w:pPr>
              <w:pStyle w:val="TableContents"/>
              <w:bidi w:val="0"/>
              <w:spacing w:before="0" w:after="283"/>
              <w:jc w:val="center"/>
              <w:rPr/>
            </w:pPr>
            <w:r>
              <w:rPr/>
              <w:t>California</w:t>
            </w:r>
          </w:p>
        </w:tc>
      </w:tr>
      <w:tr>
        <w:trPr/>
        <w:tc>
          <w:tcPr>
            <w:tcW w:w="4025" w:type="dxa"/>
            <w:tcBorders/>
            <w:vAlign w:val="center"/>
          </w:tcPr>
          <w:p>
            <w:pPr>
              <w:pStyle w:val="TableContents"/>
              <w:bidi w:val="0"/>
              <w:spacing w:before="0" w:after="283"/>
              <w:jc w:val="center"/>
              <w:rPr/>
            </w:pPr>
            <w:r>
              <w:rPr/>
              <w:t>Snail Coins,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Snail Coins (BVI) Limited</w:t>
            </w:r>
          </w:p>
        </w:tc>
        <w:tc>
          <w:tcPr>
            <w:tcW w:w="2060" w:type="dxa"/>
            <w:tcBorders/>
            <w:vAlign w:val="center"/>
          </w:tcPr>
          <w:p>
            <w:pPr>
              <w:pStyle w:val="TableContents"/>
              <w:bidi w:val="0"/>
              <w:spacing w:before="0" w:after="283"/>
              <w:jc w:val="center"/>
              <w:rPr/>
            </w:pPr>
            <w:r>
              <w:rPr/>
              <w:t>British Virgin Islands</w:t>
            </w:r>
          </w:p>
        </w:tc>
      </w:tr>
      <w:tr>
        <w:trPr/>
        <w:tc>
          <w:tcPr>
            <w:tcW w:w="4025" w:type="dxa"/>
            <w:tcBorders/>
            <w:vAlign w:val="center"/>
          </w:tcPr>
          <w:p>
            <w:pPr>
              <w:pStyle w:val="TableContents"/>
              <w:bidi w:val="0"/>
              <w:spacing w:before="0" w:after="283"/>
              <w:jc w:val="center"/>
              <w:rPr/>
            </w:pPr>
            <w:r>
              <w:rPr/>
              <w:t>Egofold, LLC</w:t>
            </w:r>
          </w:p>
        </w:tc>
        <w:tc>
          <w:tcPr>
            <w:tcW w:w="2060" w:type="dxa"/>
            <w:tcBorders/>
            <w:vAlign w:val="center"/>
          </w:tcPr>
          <w:p>
            <w:pPr>
              <w:pStyle w:val="TableContents"/>
              <w:bidi w:val="0"/>
              <w:spacing w:before="0" w:after="283"/>
              <w:jc w:val="center"/>
              <w:rPr/>
            </w:pPr>
            <w:r>
              <w:rPr/>
              <w:t>Delaware</w:t>
            </w:r>
          </w:p>
        </w:tc>
      </w:tr>
      <w:tr>
        <w:trPr/>
        <w:tc>
          <w:tcPr>
            <w:tcW w:w="4025" w:type="dxa"/>
            <w:tcBorders/>
            <w:vAlign w:val="center"/>
          </w:tcPr>
          <w:p>
            <w:pPr>
              <w:pStyle w:val="TableContents"/>
              <w:bidi w:val="0"/>
              <w:spacing w:before="0" w:after="283"/>
              <w:jc w:val="center"/>
              <w:rPr/>
            </w:pPr>
            <w:r>
              <w:rPr/>
              <w:t>Rustic Roost Studio LLC</w:t>
            </w:r>
          </w:p>
        </w:tc>
        <w:tc>
          <w:tcPr>
            <w:tcW w:w="2060" w:type="dxa"/>
            <w:tcBorders/>
            <w:vAlign w:val="center"/>
          </w:tcPr>
          <w:p>
            <w:pPr>
              <w:pStyle w:val="TableContents"/>
              <w:bidi w:val="0"/>
              <w:spacing w:before="0" w:after="283"/>
              <w:jc w:val="center"/>
              <w:rPr/>
            </w:pPr>
            <w:r>
              <w:rPr/>
              <w:t>Poland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563" w:name="ex23-1.htm"/>
      <w:bookmarkStart w:id="1564" w:name="ksex231"/>
      <w:bookmarkEnd w:id="1563"/>
      <w:bookmarkEnd w:id="15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(File Nos. 333-274626, 333-287057 and 333-292129), Form S-8 (File No. 333-268271) and Form S-3 (File No. 333-282030) of Snail, Inc. of our report dated March 19, 2026, relating to the consolidated financial statements, which appears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Costa Mesa,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65" w:name="ex31-1.htm"/>
      <w:bookmarkStart w:id="1566" w:name="ksex311"/>
      <w:bookmarkEnd w:id="1565"/>
      <w:bookmarkEnd w:id="156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 AS ADOPTED PURSUANT TO SECTION 302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Hai Shi,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85"/>
        <w:gridCol w:w="83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year ended December 31, 2025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1805"/>
        <w:gridCol w:w="320"/>
        <w:gridCol w:w="681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19,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81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Chief Executive Officer, Chief Strategy Officer and Chairman of the Board</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67" w:name="ex31-2.htm"/>
      <w:bookmarkStart w:id="1568" w:name="ksex312"/>
      <w:bookmarkEnd w:id="1567"/>
      <w:bookmarkEnd w:id="15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OF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Heidy Chow, certify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85"/>
        <w:gridCol w:w="83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year ended December 31, 2025 of Snail,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1805"/>
        <w:gridCol w:w="320"/>
        <w:gridCol w:w="5030"/>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19,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69" w:name="ex32-1.htm"/>
      <w:bookmarkStart w:id="1570" w:name="ksex321"/>
      <w:bookmarkEnd w:id="1569"/>
      <w:bookmarkEnd w:id="15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Snail, Inc. (the “Registrant”) on Form 10-K for the year ended December 31, 2025 as filed with the Securities and Exchange Commission on the date hereof (the “Report”), I, Hai Shi, Chief Executive Officer of the Registrant, certify, pursuant to 18 U.S.C. Section 1350, as adopted pursuant to Section 906 of the Sarbanes-Oxley Act of 2002, that to my knowledge: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1805"/>
        <w:gridCol w:w="545"/>
        <w:gridCol w:w="605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Chief Strategy Officer and Chairman of the Board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71" w:name="ex32-2.htm"/>
      <w:bookmarkStart w:id="1572" w:name="ksex322"/>
      <w:bookmarkEnd w:id="1571"/>
      <w:bookmarkEnd w:id="157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FINANCIAL OFFICER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Snail, Inc. (the “Registrant”) on Form 10-K for the year ended December 31, 2025 as filed with the Securities and Exchange Commission on the date hereof (the “Report”), I, Heidy Chow, Chief Financial Officer of the Registrant, certify, pursuant to 18 U.S.C. Section 1350, as adopted pursuant to Section 906 of the Sarbanes-Oxley Act of 2002, that to my knowledge: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60"/>
        <w:gridCol w:w="95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Registrant.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1805"/>
        <w:gridCol w:w="545"/>
        <w:gridCol w:w="503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Heidy Chow</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Heidy Chow</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6894/000164117225022508/ex1-1.htm" TargetMode="External"/><Relationship Id="rId4" Type="http://schemas.openxmlformats.org/officeDocument/2006/relationships/hyperlink" Target="https://www.sec.gov/Archives/edgar/data/1886894/000110465922118795/tm2128835d28_ex3-1.htm" TargetMode="External"/><Relationship Id="rId5" Type="http://schemas.openxmlformats.org/officeDocument/2006/relationships/hyperlink" Target="https://www.sec.gov/Archives/edgar/data/1886894/000110465922118795/tm2128835d28_ex3-2.htm" TargetMode="External"/><Relationship Id="rId6" Type="http://schemas.openxmlformats.org/officeDocument/2006/relationships/hyperlink" Target="https://www.sec.gov/Archives/edgar/data/1886894/000110465922100894/tm2128835d11_ex4-1.htm" TargetMode="External"/><Relationship Id="rId7" Type="http://schemas.openxmlformats.org/officeDocument/2006/relationships/hyperlink" Target="https://www.sec.gov/Archives/edgar/data/1886894/000110465922109030/tm2128835d14_ex4-2.htm" TargetMode="External"/><Relationship Id="rId8" Type="http://schemas.openxmlformats.org/officeDocument/2006/relationships/hyperlink" Target="https://www.sec.gov/Archives/edgar/data/1886894/000110465923038408/snal-20221231xex4d3.htm" TargetMode="External"/><Relationship Id="rId9" Type="http://schemas.openxmlformats.org/officeDocument/2006/relationships/hyperlink" Target="https://www.sec.gov/Archives/edgar/data/1886894/000149315223030672/ex4-1.htm" TargetMode="External"/><Relationship Id="rId10" Type="http://schemas.openxmlformats.org/officeDocument/2006/relationships/hyperlink" Target="https://www.sec.gov/Archives/edgar/data/1886894/000149315223030672/ex4-2.htm" TargetMode="External"/><Relationship Id="rId11" Type="http://schemas.openxmlformats.org/officeDocument/2006/relationships/hyperlink" Target="https://www.sec.gov/Archives/edgar/data/1886894/000149315223030672/ex4-3.htm" TargetMode="External"/><Relationship Id="rId12" Type="http://schemas.openxmlformats.org/officeDocument/2006/relationships/hyperlink" Target="https://www.sec.gov/Archives/edgar/data/1886894/000149315224035736/ex4-7.htm" TargetMode="External"/><Relationship Id="rId13" Type="http://schemas.openxmlformats.org/officeDocument/2006/relationships/hyperlink" Target="https://www.sec.gov/Archives/edgar/data/1886894/000149315225008202/ex4-1.htm" TargetMode="External"/><Relationship Id="rId14" Type="http://schemas.openxmlformats.org/officeDocument/2006/relationships/hyperlink" Target="https://www.sec.gov/Archives/edgar/data/1886894/000149315225020124/ex4-1.htm" TargetMode="External"/><Relationship Id="rId15" Type="http://schemas.openxmlformats.org/officeDocument/2006/relationships/hyperlink" Target="https://www.sec.gov/Archives/edgar/data/1886894/000149315225025969/ex4-1.htm" TargetMode="External"/><Relationship Id="rId16" Type="http://schemas.openxmlformats.org/officeDocument/2006/relationships/hyperlink" Target="https://www.sec.gov/Archives/edgar/data/1886894/000110465922109030/tm2128835d14_ex10-12.htm" TargetMode="External"/><Relationship Id="rId17" Type="http://schemas.openxmlformats.org/officeDocument/2006/relationships/hyperlink" Target="https://www.sec.gov/Archives/edgar/data/1886894/000110465922127433/snal-20220930xex10d2.htm" TargetMode="External"/><Relationship Id="rId18" Type="http://schemas.openxmlformats.org/officeDocument/2006/relationships/hyperlink" Target="https://www.sec.gov/Archives/edgar/data/1886894/000110465922109030/tm2128835d14_ex10-5.htm" TargetMode="External"/><Relationship Id="rId19" Type="http://schemas.openxmlformats.org/officeDocument/2006/relationships/hyperlink" Target="https://www.sec.gov/Archives/edgar/data/1886894/000110465922111604/tm2128835d17_ex10-11.htm" TargetMode="External"/><Relationship Id="rId20" Type="http://schemas.openxmlformats.org/officeDocument/2006/relationships/hyperlink" Target="https://www.sec.gov/Archives/edgar/data/1886894/000110465922109030/tm2128835d14_ex10-15.htm" TargetMode="External"/><Relationship Id="rId21" Type="http://schemas.openxmlformats.org/officeDocument/2006/relationships/hyperlink" Target="https://www.sec.gov/Archives/edgar/data/1886894/000110465922109030/tm2128835d14_ex10-16.htm" TargetMode="External"/><Relationship Id="rId22" Type="http://schemas.openxmlformats.org/officeDocument/2006/relationships/hyperlink" Target="https://www.sec.gov/Archives/edgar/data/1886894/000110465922100894/tm2128835d11_ex10-1.htm" TargetMode="External"/><Relationship Id="rId23" Type="http://schemas.openxmlformats.org/officeDocument/2006/relationships/hyperlink" Target="https://www.sec.gov/Archives/edgar/data/1886894/000110465922100894/tm2128835d11_ex10-2.htm" TargetMode="External"/><Relationship Id="rId24" Type="http://schemas.openxmlformats.org/officeDocument/2006/relationships/hyperlink" Target="https://www.sec.gov/Archives/edgar/data/1886894/000110465922100894/tm2128835d11_ex10-3.htm" TargetMode="External"/><Relationship Id="rId25" Type="http://schemas.openxmlformats.org/officeDocument/2006/relationships/hyperlink" Target="https://www.sec.gov/Archives/edgar/data/1886894/000110465922109030/tm2128835d14_ex10-13.htm" TargetMode="External"/><Relationship Id="rId26" Type="http://schemas.openxmlformats.org/officeDocument/2006/relationships/hyperlink" Target="https://www.sec.gov/Archives/edgar/data/1886894/000110465922109030/tm2128835d14_ex10-14.htm" TargetMode="External"/><Relationship Id="rId27" Type="http://schemas.openxmlformats.org/officeDocument/2006/relationships/hyperlink" Target="https://www.sec.gov/Archives/edgar/data/1886894/000110465922100894/tm2128835d11_ex10-4.htm" TargetMode="External"/><Relationship Id="rId28" Type="http://schemas.openxmlformats.org/officeDocument/2006/relationships/hyperlink" Target="https://www.sec.gov/Archives/edgar/data/1886894/000110465922100894/tm2128835d11_ex10-6.htm" TargetMode="External"/><Relationship Id="rId29" Type="http://schemas.openxmlformats.org/officeDocument/2006/relationships/hyperlink" Target="https://www.sec.gov/Archives/edgar/data/1886894/000110465922100894/tm2128835d11_ex10-7.htm" TargetMode="External"/><Relationship Id="rId30" Type="http://schemas.openxmlformats.org/officeDocument/2006/relationships/hyperlink" Target="https://www.sec.gov/Archives/edgar/data/1886894/000110465922100894/tm2128835d11_ex10-8.htm" TargetMode="External"/><Relationship Id="rId31" Type="http://schemas.openxmlformats.org/officeDocument/2006/relationships/hyperlink" Target="https://www.sec.gov/Archives/edgar/data/1886894/000110465922100894/tm2128835d11_ex10-9.htm" TargetMode="External"/><Relationship Id="rId32" Type="http://schemas.openxmlformats.org/officeDocument/2006/relationships/hyperlink" Target="https://www.sec.gov/Archives/edgar/data/1886894/000110465922100894/tm2128835d11_ex10-10.htm" TargetMode="External"/><Relationship Id="rId33" Type="http://schemas.openxmlformats.org/officeDocument/2006/relationships/hyperlink" Target="https://www.sec.gov/Archives/edgar/data/1886894/000110465923038408/snal-20221231xex10d18.htm" TargetMode="External"/><Relationship Id="rId34" Type="http://schemas.openxmlformats.org/officeDocument/2006/relationships/hyperlink" Target="https://www.sec.gov/Archives/edgar/data/1886894/000110465923038408/snal-20221231xex10d19.htm" TargetMode="External"/><Relationship Id="rId35" Type="http://schemas.openxmlformats.org/officeDocument/2006/relationships/hyperlink" Target="https://www.sec.gov/Archives/edgar/data/1886894/000149315223026297/ex10-1.htm" TargetMode="External"/><Relationship Id="rId36" Type="http://schemas.openxmlformats.org/officeDocument/2006/relationships/hyperlink" Target="https://www.sec.gov/Archives/edgar/data/1886894/000149315223030672/ex10-1.htm" TargetMode="External"/><Relationship Id="rId37" Type="http://schemas.openxmlformats.org/officeDocument/2006/relationships/hyperlink" Target="https://www.sec.gov/Archives/edgar/data/1886894/000149315223030672/ex10-2.htm" TargetMode="External"/><Relationship Id="rId38" Type="http://schemas.openxmlformats.org/officeDocument/2006/relationships/hyperlink" Target="https://www.sec.gov/Archives/edgar/data/1886894/000149315223030672/ex10-3.htm" TargetMode="External"/><Relationship Id="rId39" Type="http://schemas.openxmlformats.org/officeDocument/2006/relationships/hyperlink" Target="https://www.sec.gov/Archives/edgar/data/1886894/000149315223041692/ex10-1.htm" TargetMode="External"/><Relationship Id="rId40" Type="http://schemas.openxmlformats.org/officeDocument/2006/relationships/hyperlink" Target="https://www.sec.gov/Archives/edgar/data/1886894/000149315224015242/ex10-1.htm" TargetMode="External"/><Relationship Id="rId41" Type="http://schemas.openxmlformats.org/officeDocument/2006/relationships/hyperlink" Target="https://www.sec.gov/Archives/edgar/data/1886894/000149315225008202/ex10-1.htm" TargetMode="External"/><Relationship Id="rId42" Type="http://schemas.openxmlformats.org/officeDocument/2006/relationships/hyperlink" Target="https://www.sec.gov/Archives/edgar/data/1886894/000149315225008202/ex10-2.htm" TargetMode="External"/><Relationship Id="rId43" Type="http://schemas.openxmlformats.org/officeDocument/2006/relationships/hyperlink" Target="https://www.sec.gov/Archives/edgar/data/1886894/000164117225022508/ex1-1.htm" TargetMode="External"/><Relationship Id="rId44" Type="http://schemas.openxmlformats.org/officeDocument/2006/relationships/hyperlink" Target="https://www.sec.gov/Archives/edgar/data/1886894/000149315225017889/ex10-1.htm" TargetMode="External"/><Relationship Id="rId45" Type="http://schemas.openxmlformats.org/officeDocument/2006/relationships/hyperlink" Target="https://www.sec.gov/Archives/edgar/data/1886894/000149315225017889/ex10-2.htm" TargetMode="External"/><Relationship Id="rId46" Type="http://schemas.openxmlformats.org/officeDocument/2006/relationships/hyperlink" Target="https://www.sec.gov/Archives/edgar/data/1886894/000149315225017889/ex10-3.htm" TargetMode="External"/><Relationship Id="rId47" Type="http://schemas.openxmlformats.org/officeDocument/2006/relationships/hyperlink" Target="https://www.sec.gov/Archives/edgar/data/1886894/000149315225020124/ex10-1.htm" TargetMode="External"/><Relationship Id="rId48" Type="http://schemas.openxmlformats.org/officeDocument/2006/relationships/hyperlink" Target="https://www.sec.gov/Archives/edgar/data/1886894/000149315225020124/ex10-2.htm" TargetMode="External"/><Relationship Id="rId49" Type="http://schemas.openxmlformats.org/officeDocument/2006/relationships/hyperlink" Target="https://www.sec.gov/Archives/edgar/data/1886894/000149315225025969/ex10-1.htm" TargetMode="External"/><Relationship Id="rId50" Type="http://schemas.openxmlformats.org/officeDocument/2006/relationships/hyperlink" Target="https://www.sec.gov/Archives/edgar/data/1886894/000149315225025969/ex10-2.htm" TargetMode="External"/><Relationship Id="rId51" Type="http://schemas.openxmlformats.org/officeDocument/2006/relationships/hyperlink" Target="https://www.sec.gov/Archives/edgar/data/1886894/000164117225000784/ex19-1.htm" TargetMode="External"/><Relationship Id="rId52" Type="http://schemas.openxmlformats.org/officeDocument/2006/relationships/hyperlink" Target="https://www.sec.gov/Archives/edgar/data/1886894/000149315224012392/ex97-1.htm" TargetMode="External"/><Relationship Id="rId53" Type="http://schemas.openxmlformats.org/officeDocument/2006/relationships/image" Target="media/image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86752</Words>
  <Characters>474944</Characters>
  <CharactersWithSpaces>566058</CharactersWithSpaces>
  <Paragraphs>14506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